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CD099" w14:textId="4216883C" w:rsidR="000C5CD6" w:rsidRPr="00C94DBE" w:rsidRDefault="000C5CD6" w:rsidP="000C5CD6">
      <w:pPr>
        <w:pStyle w:val="ae"/>
        <w:rPr>
          <w:rFonts w:eastAsia="宋体" w:cs="Arial"/>
          <w:lang w:eastAsia="zh-CN"/>
        </w:rPr>
      </w:pPr>
      <w:r w:rsidRPr="00C94DBE">
        <w:rPr>
          <w:rFonts w:cs="Arial"/>
        </w:rPr>
        <w:t>3GPP TSG-RAN Meeting #</w:t>
      </w:r>
      <w:r w:rsidRPr="00C94DBE">
        <w:rPr>
          <w:rFonts w:eastAsia="宋体" w:cs="Arial"/>
          <w:lang w:eastAsia="zh-CN"/>
        </w:rPr>
        <w:t>9</w:t>
      </w:r>
      <w:r w:rsidR="0015790A">
        <w:rPr>
          <w:rFonts w:eastAsia="宋体" w:cs="Arial"/>
          <w:lang w:eastAsia="zh-CN"/>
        </w:rPr>
        <w:t>1</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sidR="00452451">
        <w:rPr>
          <w:rFonts w:eastAsia="宋体" w:cs="Arial"/>
          <w:lang w:eastAsia="zh-CN"/>
        </w:rPr>
        <w:t xml:space="preserve"> </w:t>
      </w:r>
      <w:r w:rsidR="008301D0">
        <w:rPr>
          <w:rFonts w:eastAsia="宋体" w:cs="Arial"/>
          <w:lang w:eastAsia="zh-CN"/>
        </w:rPr>
        <w:t xml:space="preserve"> </w:t>
      </w:r>
      <w:r>
        <w:rPr>
          <w:rFonts w:eastAsia="宋体" w:cs="Arial" w:hint="eastAsia"/>
          <w:lang w:eastAsia="zh-CN"/>
        </w:rPr>
        <w:t xml:space="preserve">   </w:t>
      </w:r>
      <w:r w:rsidR="00534D2B">
        <w:rPr>
          <w:rFonts w:eastAsia="宋体" w:cs="Arial"/>
          <w:lang w:eastAsia="zh-CN"/>
        </w:rPr>
        <w:t xml:space="preserve">  </w:t>
      </w:r>
      <w:r>
        <w:rPr>
          <w:rFonts w:eastAsia="宋体" w:cs="Arial" w:hint="eastAsia"/>
          <w:lang w:eastAsia="zh-CN"/>
        </w:rPr>
        <w:t xml:space="preserve">      R</w:t>
      </w:r>
      <w:r w:rsidR="0015790A">
        <w:rPr>
          <w:rFonts w:eastAsia="宋体" w:cs="Arial"/>
          <w:lang w:eastAsia="zh-CN"/>
        </w:rPr>
        <w:t>P</w:t>
      </w:r>
      <w:r>
        <w:rPr>
          <w:rFonts w:eastAsia="宋体" w:cs="Arial" w:hint="eastAsia"/>
          <w:lang w:eastAsia="zh-CN"/>
        </w:rPr>
        <w:t>-2</w:t>
      </w:r>
      <w:r w:rsidR="00337F96">
        <w:rPr>
          <w:rFonts w:eastAsia="宋体" w:cs="Arial"/>
          <w:lang w:eastAsia="zh-CN"/>
        </w:rPr>
        <w:t>1</w:t>
      </w:r>
      <w:r w:rsidR="0015790A">
        <w:rPr>
          <w:rFonts w:eastAsia="宋体" w:cs="Arial"/>
          <w:lang w:eastAsia="zh-CN"/>
        </w:rPr>
        <w:t>0303</w:t>
      </w:r>
      <w:r w:rsidRPr="00C94DBE">
        <w:rPr>
          <w:rFonts w:eastAsia="宋体" w:cs="Arial"/>
          <w:lang w:eastAsia="zh-CN"/>
        </w:rPr>
        <w:t xml:space="preserve">                                     </w:t>
      </w:r>
      <w:r>
        <w:rPr>
          <w:rFonts w:eastAsia="宋体" w:cs="Arial"/>
          <w:lang w:eastAsia="zh-CN"/>
        </w:rPr>
        <w:t xml:space="preserve">                             </w:t>
      </w:r>
    </w:p>
    <w:p w14:paraId="460B2033" w14:textId="2626DBA1" w:rsidR="000C5CD6" w:rsidRDefault="000C5CD6" w:rsidP="000C5CD6">
      <w:pPr>
        <w:pStyle w:val="ae"/>
        <w:rPr>
          <w:rFonts w:eastAsiaTheme="minorEastAsia" w:cs="Arial"/>
          <w:lang w:eastAsia="zh-CN"/>
        </w:rPr>
      </w:pPr>
      <w:r>
        <w:t>Electronic Meeting</w:t>
      </w:r>
      <w:r w:rsidRPr="00051CD8">
        <w:rPr>
          <w:rFonts w:cs="Arial" w:hint="eastAsia"/>
        </w:rPr>
        <w:t>,</w:t>
      </w:r>
      <w:r w:rsidRPr="00051CD8">
        <w:rPr>
          <w:rFonts w:cs="Arial"/>
        </w:rPr>
        <w:t xml:space="preserve"> </w:t>
      </w:r>
      <w:r w:rsidR="0015790A">
        <w:rPr>
          <w:rFonts w:cs="Arial"/>
        </w:rPr>
        <w:t>16</w:t>
      </w:r>
      <w:r w:rsidR="0015790A" w:rsidRPr="0015790A">
        <w:rPr>
          <w:rFonts w:cs="Arial"/>
          <w:vertAlign w:val="superscript"/>
        </w:rPr>
        <w:t>th</w:t>
      </w:r>
      <w:r w:rsidR="007144F1">
        <w:rPr>
          <w:rFonts w:cs="Arial"/>
          <w:vertAlign w:val="superscript"/>
        </w:rPr>
        <w:t xml:space="preserve"> </w:t>
      </w:r>
      <w:r w:rsidR="0015790A">
        <w:rPr>
          <w:rFonts w:cs="Arial"/>
        </w:rPr>
        <w:t>– 26</w:t>
      </w:r>
      <w:r w:rsidR="0015790A" w:rsidRPr="0015790A">
        <w:rPr>
          <w:rFonts w:cs="Arial"/>
          <w:vertAlign w:val="superscript"/>
        </w:rPr>
        <w:t>th</w:t>
      </w:r>
      <w:r w:rsidR="0015790A">
        <w:rPr>
          <w:rFonts w:cs="Arial"/>
        </w:rPr>
        <w:t xml:space="preserve"> </w:t>
      </w:r>
      <w:r w:rsidR="0015790A">
        <w:rPr>
          <w:rFonts w:eastAsiaTheme="minorEastAsia" w:cs="Arial"/>
          <w:lang w:eastAsia="zh-CN"/>
        </w:rPr>
        <w:t>March</w:t>
      </w:r>
      <w:r w:rsidRPr="00051CD8">
        <w:rPr>
          <w:rFonts w:cs="Arial"/>
        </w:rPr>
        <w:t>, 20</w:t>
      </w:r>
      <w:r>
        <w:rPr>
          <w:rFonts w:eastAsiaTheme="minorEastAsia" w:cs="Arial" w:hint="eastAsia"/>
          <w:lang w:eastAsia="zh-CN"/>
        </w:rPr>
        <w:t>2</w:t>
      </w:r>
      <w:r w:rsidR="007144F1">
        <w:rPr>
          <w:rFonts w:eastAsiaTheme="minorEastAsia" w:cs="Arial"/>
          <w:lang w:eastAsia="zh-CN"/>
        </w:rPr>
        <w:t>1</w:t>
      </w:r>
    </w:p>
    <w:p w14:paraId="33DF1B38" w14:textId="77777777" w:rsidR="000C5CD6" w:rsidRPr="00051CD8" w:rsidRDefault="000C5CD6" w:rsidP="000C5CD6">
      <w:pPr>
        <w:pStyle w:val="ae"/>
        <w:rPr>
          <w:rFonts w:eastAsiaTheme="minorEastAsia" w:cs="Arial"/>
          <w:lang w:eastAsia="zh-CN"/>
        </w:rPr>
      </w:pPr>
    </w:p>
    <w:p w14:paraId="11241341" w14:textId="78811CEB"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15790A">
        <w:rPr>
          <w:rFonts w:ascii="Arial" w:eastAsia="宋体" w:hAnsi="Arial" w:cs="Arial"/>
          <w:b/>
          <w:noProof/>
          <w:kern w:val="0"/>
          <w:sz w:val="22"/>
          <w:szCs w:val="22"/>
          <w:lang w:val="en-GB"/>
        </w:rPr>
        <w:t>9.6.11</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14:paraId="30036B46" w14:textId="77777777"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0E371AEC" w14:textId="1FF5B8E0" w:rsidR="00FF76F4" w:rsidRPr="000F5165" w:rsidRDefault="00FF76F4" w:rsidP="0015790A">
      <w:pPr>
        <w:spacing w:before="75" w:after="75"/>
        <w:jc w:val="left"/>
        <w:rPr>
          <w:rFonts w:ascii="Arial" w:eastAsia="宋体" w:hAnsi="Arial" w:cs="Arial" w:hint="eastAsia"/>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452451">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EC3673">
        <w:rPr>
          <w:rFonts w:ascii="Arial" w:eastAsia="宋体" w:hAnsi="Arial" w:cs="Arial"/>
          <w:b/>
          <w:noProof/>
          <w:kern w:val="0"/>
          <w:sz w:val="22"/>
          <w:lang w:val="en-GB" w:eastAsia="en-US"/>
        </w:rPr>
        <w:t xml:space="preserve"> </w:t>
      </w:r>
      <w:r w:rsidR="0015790A" w:rsidRPr="0015790A">
        <w:rPr>
          <w:rFonts w:ascii="Arial" w:eastAsia="宋体" w:hAnsi="Arial" w:cs="Arial"/>
          <w:b/>
          <w:noProof/>
          <w:kern w:val="0"/>
          <w:sz w:val="22"/>
          <w:lang w:val="en-GB"/>
        </w:rPr>
        <w:t>How to define frequency ranges in specifications</w:t>
      </w:r>
    </w:p>
    <w:p w14:paraId="731095F0" w14:textId="77777777"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347394">
        <w:rPr>
          <w:rFonts w:ascii="Arial" w:eastAsia="宋体" w:hAnsi="Arial" w:cs="Arial"/>
          <w:b/>
          <w:noProof/>
          <w:kern w:val="0"/>
          <w:sz w:val="22"/>
          <w:szCs w:val="22"/>
          <w:lang w:val="en-GB"/>
        </w:rPr>
        <w:t xml:space="preserve">Discussion </w:t>
      </w:r>
    </w:p>
    <w:p w14:paraId="5E551FF5" w14:textId="77777777" w:rsidR="00FF76F4" w:rsidRDefault="00FF76F4" w:rsidP="00FF76F4">
      <w:pPr>
        <w:pStyle w:val="1"/>
        <w:tabs>
          <w:tab w:val="left" w:pos="9781"/>
        </w:tabs>
        <w:ind w:right="-28"/>
        <w:jc w:val="both"/>
        <w:rPr>
          <w:rFonts w:cs="Arial"/>
          <w:lang w:eastAsia="zh-CN"/>
        </w:rPr>
      </w:pPr>
      <w:r w:rsidRPr="002D1706">
        <w:rPr>
          <w:rFonts w:cs="Arial"/>
        </w:rPr>
        <w:t>Introduction</w:t>
      </w:r>
    </w:p>
    <w:p w14:paraId="14299777" w14:textId="04526170" w:rsidR="00D13062" w:rsidRDefault="00E603E6" w:rsidP="00AD0A39">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In RAN#90e meeting, there was discussion on </w:t>
      </w:r>
      <w:r w:rsidR="00BC3D0D">
        <w:rPr>
          <w:rFonts w:cstheme="minorHAnsi"/>
          <w:sz w:val="20"/>
          <w:szCs w:val="20"/>
        </w:rPr>
        <w:t>whether new frequency r</w:t>
      </w:r>
      <w:r w:rsidR="00EC3673">
        <w:rPr>
          <w:rFonts w:cstheme="minorHAnsi"/>
          <w:sz w:val="20"/>
          <w:szCs w:val="20"/>
        </w:rPr>
        <w:t xml:space="preserve">ange should be defined for 52.6-71GHz </w:t>
      </w:r>
      <w:r w:rsidR="003A2C9C">
        <w:rPr>
          <w:rFonts w:cstheme="minorHAnsi"/>
          <w:sz w:val="20"/>
          <w:szCs w:val="20"/>
        </w:rPr>
        <w:t xml:space="preserve">but no </w:t>
      </w:r>
      <w:r w:rsidR="006B08BD">
        <w:rPr>
          <w:rFonts w:cstheme="minorHAnsi"/>
          <w:sz w:val="20"/>
          <w:szCs w:val="20"/>
        </w:rPr>
        <w:t xml:space="preserve">conclusion </w:t>
      </w:r>
      <w:r w:rsidR="0015790A">
        <w:rPr>
          <w:rFonts w:cstheme="minorHAnsi"/>
          <w:sz w:val="20"/>
          <w:szCs w:val="20"/>
        </w:rPr>
        <w:t xml:space="preserve">made </w:t>
      </w:r>
      <w:r w:rsidR="006B08BD">
        <w:rPr>
          <w:rFonts w:cstheme="minorHAnsi"/>
          <w:sz w:val="20"/>
          <w:szCs w:val="20"/>
        </w:rPr>
        <w:t>[</w:t>
      </w:r>
      <w:r w:rsidR="00A9173E">
        <w:rPr>
          <w:rFonts w:cstheme="minorHAnsi"/>
          <w:sz w:val="20"/>
          <w:szCs w:val="20"/>
        </w:rPr>
        <w:t>1]</w:t>
      </w:r>
      <w:r w:rsidR="003A2C9C">
        <w:rPr>
          <w:rFonts w:cstheme="minorHAnsi"/>
          <w:sz w:val="20"/>
          <w:szCs w:val="20"/>
        </w:rPr>
        <w:t xml:space="preserve">. The decision is captured </w:t>
      </w:r>
      <w:r w:rsidR="00BC3D0D">
        <w:rPr>
          <w:rFonts w:cstheme="minorHAnsi"/>
          <w:sz w:val="20"/>
          <w:szCs w:val="20"/>
        </w:rPr>
        <w:t>in below</w:t>
      </w:r>
      <w:r w:rsidR="003A2C9C">
        <w:rPr>
          <w:rFonts w:cstheme="minorHAnsi"/>
          <w:sz w:val="20"/>
          <w:szCs w:val="20"/>
        </w:rPr>
        <w:t xml:space="preserve"> note</w:t>
      </w:r>
      <w:r w:rsidR="00BC3D0D">
        <w:rPr>
          <w:rFonts w:cstheme="minorHAnsi"/>
          <w:sz w:val="20"/>
          <w:szCs w:val="20"/>
        </w:rPr>
        <w:t xml:space="preserve">, </w:t>
      </w:r>
      <w:r w:rsidR="003A2C9C">
        <w:rPr>
          <w:rFonts w:cstheme="minorHAnsi"/>
          <w:sz w:val="20"/>
          <w:szCs w:val="20"/>
        </w:rPr>
        <w:t xml:space="preserve"> </w:t>
      </w:r>
    </w:p>
    <w:p w14:paraId="7EC2039A" w14:textId="7411235A" w:rsidR="003A2C9C" w:rsidRPr="003A2C9C" w:rsidRDefault="003A2C9C" w:rsidP="00AD0A39">
      <w:pPr>
        <w:overflowPunct w:val="0"/>
        <w:autoSpaceDE w:val="0"/>
        <w:autoSpaceDN w:val="0"/>
        <w:adjustRightInd w:val="0"/>
        <w:spacing w:after="180"/>
        <w:textAlignment w:val="baseline"/>
        <w:rPr>
          <w:rFonts w:ascii="Times New Roman" w:hAnsi="Times New Roman" w:cs="Times New Roman"/>
          <w:sz w:val="20"/>
          <w:szCs w:val="20"/>
        </w:rPr>
      </w:pPr>
      <w:bookmarkStart w:id="0" w:name="_Hlk58594589"/>
      <w:r w:rsidRPr="00474B4F">
        <w:rPr>
          <w:rFonts w:ascii="Times New Roman" w:hAnsi="Times New Roman" w:cs="Times New Roman" w:hint="eastAsia"/>
          <w:sz w:val="20"/>
          <w:szCs w:val="20"/>
          <w:highlight w:val="lightGray"/>
        </w:rPr>
        <w:t>Note</w:t>
      </w:r>
      <w:r w:rsidRPr="00474B4F">
        <w:rPr>
          <w:rFonts w:ascii="Times New Roman" w:hAnsi="Times New Roman" w:cs="Times New Roman"/>
          <w:sz w:val="20"/>
          <w:szCs w:val="20"/>
          <w:highlight w:val="lightGray"/>
        </w:rPr>
        <w:t xml:space="preserve"> 5</w:t>
      </w:r>
      <w:r w:rsidRPr="00474B4F">
        <w:rPr>
          <w:rFonts w:ascii="Times New Roman" w:hAnsi="Times New Roman" w:cs="Times New Roman" w:hint="eastAsia"/>
          <w:sz w:val="20"/>
          <w:szCs w:val="20"/>
          <w:highlight w:val="lightGray"/>
        </w:rPr>
        <w:t xml:space="preserve">: RAN plenary will decide </w:t>
      </w:r>
      <w:bookmarkEnd w:id="0"/>
      <w:r w:rsidRPr="00474B4F">
        <w:rPr>
          <w:rFonts w:ascii="Times New Roman" w:hAnsi="Times New Roman" w:cs="Times New Roman" w:hint="eastAsia"/>
          <w:sz w:val="20"/>
          <w:szCs w:val="20"/>
          <w:highlight w:val="lightGray"/>
        </w:rPr>
        <w:t>whether new FR (e.g. FR3) shall be defined for the frequency range from 52.6GHz-71GHz or the existing FR2 shall be extended to cover frequency range from 52.6GHz-71GHz.</w:t>
      </w:r>
    </w:p>
    <w:p w14:paraId="679D266E" w14:textId="43A3AAEE" w:rsidR="003A2C9C" w:rsidRDefault="003A2C9C" w:rsidP="00AD0A39">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In </w:t>
      </w:r>
      <w:r w:rsidR="0015790A">
        <w:rPr>
          <w:rFonts w:cstheme="minorHAnsi"/>
          <w:sz w:val="20"/>
          <w:szCs w:val="20"/>
        </w:rPr>
        <w:t>previous RAN4 meeting</w:t>
      </w:r>
      <w:r>
        <w:rPr>
          <w:rFonts w:cstheme="minorHAnsi"/>
          <w:sz w:val="20"/>
          <w:szCs w:val="20"/>
        </w:rPr>
        <w:t xml:space="preserve"> there </w:t>
      </w:r>
      <w:r w:rsidR="0015790A">
        <w:rPr>
          <w:rFonts w:cstheme="minorHAnsi"/>
          <w:sz w:val="20"/>
          <w:szCs w:val="20"/>
        </w:rPr>
        <w:t>were</w:t>
      </w:r>
      <w:r>
        <w:rPr>
          <w:rFonts w:cstheme="minorHAnsi"/>
          <w:sz w:val="20"/>
          <w:szCs w:val="20"/>
        </w:rPr>
        <w:t xml:space="preserve"> </w:t>
      </w:r>
      <w:r w:rsidR="0015790A">
        <w:rPr>
          <w:rFonts w:cstheme="minorHAnsi"/>
          <w:sz w:val="20"/>
          <w:szCs w:val="20"/>
        </w:rPr>
        <w:t>several paper</w:t>
      </w:r>
      <w:r w:rsidR="00A5699E">
        <w:rPr>
          <w:rFonts w:cstheme="minorHAnsi"/>
          <w:sz w:val="20"/>
          <w:szCs w:val="20"/>
        </w:rPr>
        <w:t>s</w:t>
      </w:r>
      <w:r w:rsidR="0015790A">
        <w:rPr>
          <w:rFonts w:cstheme="minorHAnsi"/>
          <w:sz w:val="20"/>
          <w:szCs w:val="20"/>
        </w:rPr>
        <w:t xml:space="preserve"> </w:t>
      </w:r>
      <w:r w:rsidR="00474B4F">
        <w:rPr>
          <w:rFonts w:cstheme="minorHAnsi"/>
          <w:sz w:val="20"/>
          <w:szCs w:val="20"/>
        </w:rPr>
        <w:t xml:space="preserve">on </w:t>
      </w:r>
      <w:r w:rsidR="00A5699E">
        <w:rPr>
          <w:rFonts w:cstheme="minorHAnsi"/>
          <w:sz w:val="20"/>
          <w:szCs w:val="20"/>
        </w:rPr>
        <w:t>addressing new frequency ranges</w:t>
      </w:r>
      <w:r>
        <w:rPr>
          <w:rFonts w:cstheme="minorHAnsi"/>
          <w:sz w:val="20"/>
          <w:szCs w:val="20"/>
        </w:rPr>
        <w:t xml:space="preserve"> in RAN4 </w:t>
      </w:r>
      <w:r w:rsidR="0015790A">
        <w:rPr>
          <w:rFonts w:cstheme="minorHAnsi"/>
          <w:sz w:val="20"/>
          <w:szCs w:val="20"/>
        </w:rPr>
        <w:t>submitted. RAN4 Chairman decided to postpone</w:t>
      </w:r>
      <w:r>
        <w:rPr>
          <w:rFonts w:cstheme="minorHAnsi"/>
          <w:sz w:val="20"/>
          <w:szCs w:val="20"/>
        </w:rPr>
        <w:t xml:space="preserve"> the </w:t>
      </w:r>
      <w:r w:rsidR="00006F5D">
        <w:rPr>
          <w:rFonts w:cstheme="minorHAnsi"/>
          <w:sz w:val="20"/>
          <w:szCs w:val="20"/>
        </w:rPr>
        <w:t>discussions given RAN plenary gu</w:t>
      </w:r>
      <w:r w:rsidR="0015790A">
        <w:rPr>
          <w:rFonts w:cstheme="minorHAnsi"/>
          <w:sz w:val="20"/>
          <w:szCs w:val="20"/>
        </w:rPr>
        <w:t>ideline</w:t>
      </w:r>
      <w:r w:rsidR="00474B4F">
        <w:rPr>
          <w:rFonts w:cstheme="minorHAnsi"/>
          <w:sz w:val="20"/>
          <w:szCs w:val="20"/>
        </w:rPr>
        <w:t xml:space="preserve">. </w:t>
      </w:r>
      <w:r>
        <w:rPr>
          <w:rFonts w:cstheme="minorHAnsi"/>
          <w:sz w:val="20"/>
          <w:szCs w:val="20"/>
        </w:rPr>
        <w:t xml:space="preserve"> </w:t>
      </w:r>
    </w:p>
    <w:p w14:paraId="14FD7667" w14:textId="152A9A54" w:rsidR="00474B4F" w:rsidRDefault="00474B4F" w:rsidP="00AD0A39">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Hence we share our view on this aspect in this contribution. </w:t>
      </w:r>
      <w:r w:rsidR="00104695">
        <w:rPr>
          <w:rFonts w:cstheme="minorHAnsi"/>
          <w:sz w:val="20"/>
          <w:szCs w:val="20"/>
        </w:rPr>
        <w:t>I</w:t>
      </w:r>
      <w:r>
        <w:rPr>
          <w:rFonts w:cstheme="minorHAnsi"/>
          <w:sz w:val="20"/>
          <w:szCs w:val="20"/>
        </w:rPr>
        <w:t>t’s anticipated that RAN</w:t>
      </w:r>
      <w:r w:rsidR="0015790A">
        <w:rPr>
          <w:rFonts w:cstheme="minorHAnsi"/>
          <w:sz w:val="20"/>
          <w:szCs w:val="20"/>
        </w:rPr>
        <w:t xml:space="preserve"> plenary</w:t>
      </w:r>
      <w:r>
        <w:rPr>
          <w:rFonts w:cstheme="minorHAnsi"/>
          <w:sz w:val="20"/>
          <w:szCs w:val="20"/>
        </w:rPr>
        <w:t xml:space="preserve"> can </w:t>
      </w:r>
      <w:r w:rsidR="0015790A">
        <w:rPr>
          <w:rFonts w:cstheme="minorHAnsi"/>
          <w:sz w:val="20"/>
          <w:szCs w:val="20"/>
        </w:rPr>
        <w:t xml:space="preserve">further conclude how to introduce </w:t>
      </w:r>
      <w:r w:rsidR="007300FC">
        <w:rPr>
          <w:rFonts w:cstheme="minorHAnsi"/>
          <w:sz w:val="20"/>
          <w:szCs w:val="20"/>
        </w:rPr>
        <w:t>52.6 -71 GHz frequency bands. Furthermore, it is preferred to have RAN plenary guideline on other new frequency bands beyond existing frequency range</w:t>
      </w:r>
      <w:r w:rsidR="003F4FF8">
        <w:rPr>
          <w:rFonts w:cstheme="minorHAnsi"/>
          <w:sz w:val="20"/>
          <w:szCs w:val="20"/>
        </w:rPr>
        <w:t xml:space="preserve"> for future discussions. </w:t>
      </w:r>
    </w:p>
    <w:p w14:paraId="34706B2E" w14:textId="77777777" w:rsidR="000F0A60" w:rsidRDefault="00E33705" w:rsidP="000F0A60">
      <w:pPr>
        <w:pStyle w:val="1"/>
        <w:rPr>
          <w:rFonts w:cs="Arial"/>
          <w:lang w:eastAsia="zh-CN"/>
        </w:rPr>
      </w:pPr>
      <w:r>
        <w:rPr>
          <w:rFonts w:cs="Arial"/>
          <w:lang w:eastAsia="zh-CN"/>
        </w:rPr>
        <w:t>Discussion</w:t>
      </w:r>
      <w:r w:rsidR="000F0A60">
        <w:rPr>
          <w:rFonts w:cs="Arial"/>
          <w:lang w:eastAsia="zh-CN"/>
        </w:rPr>
        <w:t xml:space="preserve"> </w:t>
      </w:r>
    </w:p>
    <w:p w14:paraId="4460EF90" w14:textId="5D9B0A0D" w:rsidR="008410EB" w:rsidRDefault="00006F5D" w:rsidP="003A2C9C">
      <w:pPr>
        <w:overflowPunct w:val="0"/>
        <w:autoSpaceDE w:val="0"/>
        <w:autoSpaceDN w:val="0"/>
        <w:adjustRightInd w:val="0"/>
        <w:spacing w:after="180"/>
        <w:textAlignment w:val="baseline"/>
        <w:rPr>
          <w:rFonts w:cstheme="minorHAnsi"/>
          <w:sz w:val="20"/>
          <w:szCs w:val="20"/>
        </w:rPr>
      </w:pPr>
      <w:r>
        <w:rPr>
          <w:rFonts w:cstheme="minorHAnsi"/>
          <w:sz w:val="20"/>
          <w:szCs w:val="20"/>
        </w:rPr>
        <w:t>The</w:t>
      </w:r>
      <w:r w:rsidR="003A2C9C" w:rsidRPr="00EC53C0">
        <w:rPr>
          <w:rFonts w:cstheme="minorHAnsi"/>
          <w:sz w:val="20"/>
          <w:szCs w:val="20"/>
        </w:rPr>
        <w:t xml:space="preserve"> preference is to in</w:t>
      </w:r>
      <w:r w:rsidR="00C86E47">
        <w:rPr>
          <w:rFonts w:cstheme="minorHAnsi"/>
          <w:sz w:val="20"/>
          <w:szCs w:val="20"/>
        </w:rPr>
        <w:t>troduce</w:t>
      </w:r>
      <w:r w:rsidR="003A2C9C" w:rsidRPr="00EC53C0">
        <w:rPr>
          <w:rFonts w:cstheme="minorHAnsi"/>
          <w:sz w:val="20"/>
          <w:szCs w:val="20"/>
        </w:rPr>
        <w:t xml:space="preserve"> the </w:t>
      </w:r>
      <w:r w:rsidR="00A5699E">
        <w:rPr>
          <w:rFonts w:cstheme="minorHAnsi"/>
          <w:sz w:val="20"/>
          <w:szCs w:val="20"/>
        </w:rPr>
        <w:t>new frequency bands</w:t>
      </w:r>
      <w:r w:rsidR="003A2C9C" w:rsidRPr="00EC53C0">
        <w:rPr>
          <w:rFonts w:cstheme="minorHAnsi"/>
          <w:sz w:val="20"/>
          <w:szCs w:val="20"/>
        </w:rPr>
        <w:t xml:space="preserve"> in existing specification structure</w:t>
      </w:r>
      <w:r w:rsidR="00104695">
        <w:rPr>
          <w:rFonts w:cstheme="minorHAnsi"/>
          <w:sz w:val="20"/>
          <w:szCs w:val="20"/>
        </w:rPr>
        <w:t>, i.e. FR</w:t>
      </w:r>
      <w:r w:rsidR="00A5699E">
        <w:rPr>
          <w:rFonts w:cstheme="minorHAnsi"/>
          <w:sz w:val="20"/>
          <w:szCs w:val="20"/>
        </w:rPr>
        <w:t>1 and FR2</w:t>
      </w:r>
      <w:r w:rsidR="00104695">
        <w:rPr>
          <w:rFonts w:cstheme="minorHAnsi"/>
          <w:sz w:val="20"/>
          <w:szCs w:val="20"/>
        </w:rPr>
        <w:t xml:space="preserve"> is suggested to be </w:t>
      </w:r>
      <w:r w:rsidR="00A5699E">
        <w:rPr>
          <w:rFonts w:cstheme="minorHAnsi"/>
          <w:sz w:val="20"/>
          <w:szCs w:val="20"/>
        </w:rPr>
        <w:t xml:space="preserve">further </w:t>
      </w:r>
      <w:r w:rsidR="00104695">
        <w:rPr>
          <w:rFonts w:cstheme="minorHAnsi"/>
          <w:sz w:val="20"/>
          <w:szCs w:val="20"/>
        </w:rPr>
        <w:t>extended</w:t>
      </w:r>
      <w:r>
        <w:rPr>
          <w:rFonts w:cstheme="minorHAnsi"/>
          <w:sz w:val="20"/>
          <w:szCs w:val="20"/>
        </w:rPr>
        <w:t xml:space="preserve"> to accommodate newly introduced frequency bands</w:t>
      </w:r>
      <w:r w:rsidR="003A2C9C" w:rsidRPr="00EC53C0">
        <w:rPr>
          <w:rFonts w:cstheme="minorHAnsi"/>
          <w:sz w:val="20"/>
          <w:szCs w:val="20"/>
        </w:rPr>
        <w:t xml:space="preserve">. </w:t>
      </w:r>
    </w:p>
    <w:p w14:paraId="02682FCC" w14:textId="24236D4F" w:rsidR="00A5699E" w:rsidRDefault="00A5699E" w:rsidP="003A2C9C">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F</w:t>
      </w:r>
      <w:r>
        <w:rPr>
          <w:rFonts w:cstheme="minorHAnsi"/>
          <w:sz w:val="20"/>
          <w:szCs w:val="20"/>
        </w:rPr>
        <w:t xml:space="preserve">requency range was introduced in the RAN4 specifications considering fundamentally whether conductive or OTA requirements is defined for different frequency bands. In NR study item, the threshold of splitting frequency ranges into conductive and OTA requirements was discussed [2]. </w:t>
      </w:r>
      <w:r w:rsidR="009B2EF9">
        <w:rPr>
          <w:rFonts w:cstheme="minorHAnsi"/>
          <w:sz w:val="20"/>
          <w:szCs w:val="20"/>
        </w:rPr>
        <w:t xml:space="preserve">It was concluded that OTA only requirements are applied for frequency range up to 100GHz. Based on such study, </w:t>
      </w:r>
      <w:r w:rsidR="009B2EF9">
        <w:rPr>
          <w:rFonts w:cstheme="minorHAnsi"/>
          <w:sz w:val="20"/>
          <w:szCs w:val="20"/>
          <w:lang w:val="en-GB"/>
        </w:rPr>
        <w:t>in the first version of R15 NR specification the FR1 is defined as sub 6GHz and FR2 is defined from 24.25-52.6GHz range according to the candidate frequency band available for IMT application. Later still within Rel-15 FR1 is further extended to 410MHz-7.125GHz to align with update on spectrum status.</w:t>
      </w:r>
    </w:p>
    <w:p w14:paraId="0C51EEFF" w14:textId="56523901" w:rsidR="00A9173E" w:rsidRPr="003A2D25" w:rsidRDefault="00A9173E" w:rsidP="00A9173E">
      <w:pPr>
        <w:pStyle w:val="TH"/>
      </w:pPr>
      <w:r w:rsidRPr="003A2D25">
        <w:rPr>
          <w:rFonts w:hint="eastAsia"/>
          <w:noProof/>
          <w:lang w:val="en-US"/>
        </w:rPr>
        <w:drawing>
          <wp:inline distT="0" distB="0" distL="0" distR="0" wp14:anchorId="16BDD99C" wp14:editId="196517E4">
            <wp:extent cx="5711190" cy="1409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1190" cy="1409065"/>
                    </a:xfrm>
                    <a:prstGeom prst="rect">
                      <a:avLst/>
                    </a:prstGeom>
                    <a:noFill/>
                    <a:ln>
                      <a:noFill/>
                    </a:ln>
                  </pic:spPr>
                </pic:pic>
              </a:graphicData>
            </a:graphic>
          </wp:inline>
        </w:drawing>
      </w:r>
    </w:p>
    <w:p w14:paraId="6EBBF7C0" w14:textId="3C1C63E1" w:rsidR="00C2723B" w:rsidRPr="00C2723B" w:rsidRDefault="00A9173E" w:rsidP="00C2723B">
      <w:pPr>
        <w:pStyle w:val="TF"/>
      </w:pPr>
      <w:r w:rsidRPr="003A2D25">
        <w:t>Figure 6.2.1</w:t>
      </w:r>
      <w:r w:rsidRPr="003A2D25">
        <w:rPr>
          <w:rFonts w:hint="eastAsia"/>
        </w:rPr>
        <w:t>-1</w:t>
      </w:r>
      <w:r>
        <w:t xml:space="preserve"> in TR38.803</w:t>
      </w:r>
      <w:r w:rsidRPr="003A2D25">
        <w:t>: Freque</w:t>
      </w:r>
      <w:r w:rsidR="001E33B7">
        <w:t>ncy range 1/2 and the threshold in R14 SI phase</w:t>
      </w:r>
    </w:p>
    <w:p w14:paraId="3DC94BA1" w14:textId="4943E613" w:rsidR="006B08BD" w:rsidRDefault="00063D48" w:rsidP="003A2C9C">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Second aspect should be taken into account is regarding the </w:t>
      </w:r>
      <w:r w:rsidR="006B08BD">
        <w:rPr>
          <w:rFonts w:cstheme="minorHAnsi"/>
          <w:sz w:val="20"/>
          <w:szCs w:val="20"/>
        </w:rPr>
        <w:t>impact on specification</w:t>
      </w:r>
      <w:r w:rsidR="00C86E47">
        <w:rPr>
          <w:rFonts w:cstheme="minorHAnsi"/>
          <w:sz w:val="20"/>
          <w:szCs w:val="20"/>
        </w:rPr>
        <w:t>, e.g.,</w:t>
      </w:r>
      <w:r w:rsidR="006B08BD">
        <w:rPr>
          <w:rFonts w:cstheme="minorHAnsi"/>
          <w:sz w:val="20"/>
          <w:szCs w:val="20"/>
        </w:rPr>
        <w:t xml:space="preserve"> introduction of 52.6-71GHz</w:t>
      </w:r>
      <w:r>
        <w:rPr>
          <w:rFonts w:cstheme="minorHAnsi"/>
          <w:sz w:val="20"/>
          <w:szCs w:val="20"/>
        </w:rPr>
        <w:t>.</w:t>
      </w:r>
      <w:r w:rsidR="006B08BD">
        <w:rPr>
          <w:rFonts w:cstheme="minorHAnsi"/>
          <w:sz w:val="20"/>
          <w:szCs w:val="20"/>
        </w:rPr>
        <w:t xml:space="preserve"> In the context of RAN4, the main specifications for NR are summarized as table below:</w:t>
      </w:r>
    </w:p>
    <w:tbl>
      <w:tblPr>
        <w:tblStyle w:val="aa"/>
        <w:tblW w:w="0" w:type="auto"/>
        <w:tblLook w:val="04A0" w:firstRow="1" w:lastRow="0" w:firstColumn="1" w:lastColumn="0" w:noHBand="0" w:noVBand="1"/>
      </w:tblPr>
      <w:tblGrid>
        <w:gridCol w:w="2122"/>
        <w:gridCol w:w="2126"/>
        <w:gridCol w:w="6208"/>
      </w:tblGrid>
      <w:tr w:rsidR="006B08BD" w:rsidRPr="00632EF2" w14:paraId="477EDA2D" w14:textId="77777777" w:rsidTr="006B08BD">
        <w:tc>
          <w:tcPr>
            <w:tcW w:w="2122" w:type="dxa"/>
            <w:shd w:val="clear" w:color="auto" w:fill="F2F2F2" w:themeFill="background1" w:themeFillShade="F2"/>
          </w:tcPr>
          <w:p w14:paraId="7829ED6A" w14:textId="5385CFB4" w:rsidR="006B08BD" w:rsidRPr="00632EF2" w:rsidRDefault="006B08BD" w:rsidP="003A2C9C">
            <w:pPr>
              <w:overflowPunct w:val="0"/>
              <w:autoSpaceDE w:val="0"/>
              <w:autoSpaceDN w:val="0"/>
              <w:adjustRightInd w:val="0"/>
              <w:spacing w:after="180"/>
              <w:textAlignment w:val="baseline"/>
              <w:rPr>
                <w:rFonts w:ascii="Arial" w:hAnsi="Arial" w:cs="Arial"/>
                <w:b/>
                <w:sz w:val="18"/>
                <w:szCs w:val="18"/>
              </w:rPr>
            </w:pPr>
            <w:r w:rsidRPr="00632EF2">
              <w:rPr>
                <w:rFonts w:ascii="Arial" w:hAnsi="Arial" w:cs="Arial"/>
                <w:b/>
                <w:sz w:val="18"/>
                <w:szCs w:val="18"/>
              </w:rPr>
              <w:t>Scope</w:t>
            </w:r>
          </w:p>
        </w:tc>
        <w:tc>
          <w:tcPr>
            <w:tcW w:w="2126" w:type="dxa"/>
            <w:shd w:val="clear" w:color="auto" w:fill="F2F2F2" w:themeFill="background1" w:themeFillShade="F2"/>
          </w:tcPr>
          <w:p w14:paraId="7B85E4C7" w14:textId="2E5DEE41" w:rsidR="006B08BD" w:rsidRPr="00632EF2" w:rsidRDefault="006B08BD" w:rsidP="003A2C9C">
            <w:pPr>
              <w:overflowPunct w:val="0"/>
              <w:autoSpaceDE w:val="0"/>
              <w:autoSpaceDN w:val="0"/>
              <w:adjustRightInd w:val="0"/>
              <w:spacing w:after="180"/>
              <w:textAlignment w:val="baseline"/>
              <w:rPr>
                <w:rFonts w:ascii="Arial" w:hAnsi="Arial" w:cs="Arial"/>
                <w:b/>
                <w:sz w:val="18"/>
                <w:szCs w:val="18"/>
              </w:rPr>
            </w:pPr>
            <w:r w:rsidRPr="00632EF2">
              <w:rPr>
                <w:rFonts w:ascii="Arial" w:hAnsi="Arial" w:cs="Arial"/>
                <w:b/>
                <w:sz w:val="18"/>
                <w:szCs w:val="18"/>
              </w:rPr>
              <w:t>TS#</w:t>
            </w:r>
          </w:p>
        </w:tc>
        <w:tc>
          <w:tcPr>
            <w:tcW w:w="6208" w:type="dxa"/>
            <w:shd w:val="clear" w:color="auto" w:fill="F2F2F2" w:themeFill="background1" w:themeFillShade="F2"/>
          </w:tcPr>
          <w:p w14:paraId="5AA6AE70" w14:textId="060AF8D5" w:rsidR="006B08BD" w:rsidRPr="00632EF2" w:rsidRDefault="006B08BD" w:rsidP="003A2C9C">
            <w:pPr>
              <w:overflowPunct w:val="0"/>
              <w:autoSpaceDE w:val="0"/>
              <w:autoSpaceDN w:val="0"/>
              <w:adjustRightInd w:val="0"/>
              <w:spacing w:after="180"/>
              <w:textAlignment w:val="baseline"/>
              <w:rPr>
                <w:rFonts w:ascii="Arial" w:hAnsi="Arial" w:cs="Arial"/>
                <w:b/>
                <w:sz w:val="18"/>
                <w:szCs w:val="18"/>
              </w:rPr>
            </w:pPr>
            <w:r w:rsidRPr="00632EF2">
              <w:rPr>
                <w:rFonts w:ascii="Arial" w:hAnsi="Arial" w:cs="Arial"/>
                <w:b/>
                <w:sz w:val="18"/>
                <w:szCs w:val="18"/>
              </w:rPr>
              <w:t xml:space="preserve">TS title </w:t>
            </w:r>
          </w:p>
        </w:tc>
      </w:tr>
      <w:tr w:rsidR="006B08BD" w:rsidRPr="00632EF2" w14:paraId="1633E809" w14:textId="77777777" w:rsidTr="006B08BD">
        <w:tc>
          <w:tcPr>
            <w:tcW w:w="2122" w:type="dxa"/>
          </w:tcPr>
          <w:p w14:paraId="6884C1DE" w14:textId="0920EC03" w:rsidR="006B08BD" w:rsidRPr="00632EF2" w:rsidRDefault="006B08BD"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lastRenderedPageBreak/>
              <w:t>BS RF/demo</w:t>
            </w:r>
          </w:p>
        </w:tc>
        <w:tc>
          <w:tcPr>
            <w:tcW w:w="2126" w:type="dxa"/>
          </w:tcPr>
          <w:p w14:paraId="480E5377" w14:textId="2B0B54C8" w:rsidR="006B08BD" w:rsidRPr="00632EF2" w:rsidRDefault="006B08BD"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38.104</w:t>
            </w:r>
          </w:p>
        </w:tc>
        <w:tc>
          <w:tcPr>
            <w:tcW w:w="6208" w:type="dxa"/>
          </w:tcPr>
          <w:p w14:paraId="68A4D2B2" w14:textId="60420B14" w:rsidR="006B08BD" w:rsidRPr="00632EF2" w:rsidRDefault="004371AA"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NR; Base Station (BS) radio transmission and reception</w:t>
            </w:r>
          </w:p>
        </w:tc>
      </w:tr>
      <w:tr w:rsidR="004371AA" w:rsidRPr="00632EF2" w14:paraId="236D98E2" w14:textId="77777777" w:rsidTr="009B00D7">
        <w:tc>
          <w:tcPr>
            <w:tcW w:w="2122" w:type="dxa"/>
            <w:vMerge w:val="restart"/>
          </w:tcPr>
          <w:p w14:paraId="60594DED" w14:textId="4446828B"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BS conformance testing</w:t>
            </w:r>
          </w:p>
        </w:tc>
        <w:tc>
          <w:tcPr>
            <w:tcW w:w="2126" w:type="dxa"/>
            <w:vAlign w:val="center"/>
          </w:tcPr>
          <w:p w14:paraId="5D0F60D3" w14:textId="232B0261"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38.141-1</w:t>
            </w:r>
          </w:p>
        </w:tc>
        <w:tc>
          <w:tcPr>
            <w:tcW w:w="6208" w:type="dxa"/>
            <w:vAlign w:val="center"/>
          </w:tcPr>
          <w:p w14:paraId="320275CA" w14:textId="6085B81A"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NR; Base Station (BS) conformance testing Part 1: Conducted conformance testing</w:t>
            </w:r>
          </w:p>
        </w:tc>
      </w:tr>
      <w:tr w:rsidR="004371AA" w:rsidRPr="00632EF2" w14:paraId="1A589A13" w14:textId="77777777" w:rsidTr="009B00D7">
        <w:tc>
          <w:tcPr>
            <w:tcW w:w="2122" w:type="dxa"/>
            <w:vMerge/>
          </w:tcPr>
          <w:p w14:paraId="3E8EC90E" w14:textId="77777777"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p>
        </w:tc>
        <w:tc>
          <w:tcPr>
            <w:tcW w:w="2126" w:type="dxa"/>
            <w:vAlign w:val="center"/>
          </w:tcPr>
          <w:p w14:paraId="06C3E559" w14:textId="7EC65640"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38.141-2</w:t>
            </w:r>
          </w:p>
        </w:tc>
        <w:tc>
          <w:tcPr>
            <w:tcW w:w="6208" w:type="dxa"/>
            <w:vAlign w:val="center"/>
          </w:tcPr>
          <w:p w14:paraId="244230D8" w14:textId="589753BB"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NR; Base Station (BS) conformance testing Part 2: Radiated conformance testing</w:t>
            </w:r>
          </w:p>
        </w:tc>
      </w:tr>
      <w:tr w:rsidR="004371AA" w:rsidRPr="00632EF2" w14:paraId="7C6DA815" w14:textId="77777777" w:rsidTr="00ED7E0C">
        <w:tc>
          <w:tcPr>
            <w:tcW w:w="2122" w:type="dxa"/>
            <w:vMerge w:val="restart"/>
          </w:tcPr>
          <w:p w14:paraId="541B88F1" w14:textId="6D6F060C"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UE RF</w:t>
            </w:r>
          </w:p>
        </w:tc>
        <w:tc>
          <w:tcPr>
            <w:tcW w:w="2126" w:type="dxa"/>
            <w:vAlign w:val="center"/>
          </w:tcPr>
          <w:p w14:paraId="3F616EAD" w14:textId="4856A34A"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38.101-1</w:t>
            </w:r>
          </w:p>
        </w:tc>
        <w:tc>
          <w:tcPr>
            <w:tcW w:w="6208" w:type="dxa"/>
            <w:vAlign w:val="center"/>
          </w:tcPr>
          <w:p w14:paraId="17DFB69F" w14:textId="0071E43B"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 xml:space="preserve">NR; User Equipment (UE) radio transmission and reception; Part 1: </w:t>
            </w:r>
            <w:r w:rsidRPr="00632EF2">
              <w:rPr>
                <w:rFonts w:ascii="Arial" w:hAnsi="Arial" w:cs="Arial"/>
                <w:color w:val="444444"/>
                <w:sz w:val="18"/>
                <w:szCs w:val="18"/>
                <w:highlight w:val="green"/>
              </w:rPr>
              <w:t>Range 1 Standalone</w:t>
            </w:r>
          </w:p>
        </w:tc>
      </w:tr>
      <w:tr w:rsidR="004371AA" w:rsidRPr="00632EF2" w14:paraId="4D53B885" w14:textId="77777777" w:rsidTr="00ED7E0C">
        <w:tc>
          <w:tcPr>
            <w:tcW w:w="2122" w:type="dxa"/>
            <w:vMerge/>
          </w:tcPr>
          <w:p w14:paraId="15D621EC" w14:textId="77777777"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p>
        </w:tc>
        <w:tc>
          <w:tcPr>
            <w:tcW w:w="2126" w:type="dxa"/>
            <w:vAlign w:val="center"/>
          </w:tcPr>
          <w:p w14:paraId="52E00A9D" w14:textId="625E178A"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38.101-2</w:t>
            </w:r>
          </w:p>
        </w:tc>
        <w:tc>
          <w:tcPr>
            <w:tcW w:w="6208" w:type="dxa"/>
            <w:vAlign w:val="center"/>
          </w:tcPr>
          <w:p w14:paraId="7804057E" w14:textId="342FA001"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 xml:space="preserve">NR; User Equipment (UE) radio transmission and reception; Part 2: </w:t>
            </w:r>
            <w:r w:rsidRPr="00632EF2">
              <w:rPr>
                <w:rFonts w:ascii="Arial" w:hAnsi="Arial" w:cs="Arial"/>
                <w:color w:val="444444"/>
                <w:sz w:val="18"/>
                <w:szCs w:val="18"/>
                <w:highlight w:val="green"/>
              </w:rPr>
              <w:t>Range 2 Standalone</w:t>
            </w:r>
          </w:p>
        </w:tc>
      </w:tr>
      <w:tr w:rsidR="004371AA" w:rsidRPr="00632EF2" w14:paraId="28B6944F" w14:textId="77777777" w:rsidTr="00ED7E0C">
        <w:tc>
          <w:tcPr>
            <w:tcW w:w="2122" w:type="dxa"/>
            <w:vMerge/>
          </w:tcPr>
          <w:p w14:paraId="1FDAA900" w14:textId="77777777"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p>
        </w:tc>
        <w:tc>
          <w:tcPr>
            <w:tcW w:w="2126" w:type="dxa"/>
            <w:vAlign w:val="center"/>
          </w:tcPr>
          <w:p w14:paraId="229220F2" w14:textId="5F2B2138"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38.101-3</w:t>
            </w:r>
          </w:p>
        </w:tc>
        <w:tc>
          <w:tcPr>
            <w:tcW w:w="6208" w:type="dxa"/>
            <w:vAlign w:val="center"/>
          </w:tcPr>
          <w:p w14:paraId="5B06A361" w14:textId="638A6EB3"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 xml:space="preserve">NR; User Equipment (UE) radio transmission and reception; Part 3: </w:t>
            </w:r>
            <w:r w:rsidRPr="00632EF2">
              <w:rPr>
                <w:rFonts w:ascii="Arial" w:hAnsi="Arial" w:cs="Arial"/>
                <w:color w:val="444444"/>
                <w:sz w:val="18"/>
                <w:szCs w:val="18"/>
                <w:highlight w:val="green"/>
              </w:rPr>
              <w:t>Range 1 and Range 2</w:t>
            </w:r>
            <w:r w:rsidRPr="00632EF2">
              <w:rPr>
                <w:rFonts w:ascii="Arial" w:hAnsi="Arial" w:cs="Arial"/>
                <w:color w:val="444444"/>
                <w:sz w:val="18"/>
                <w:szCs w:val="18"/>
              </w:rPr>
              <w:t xml:space="preserve"> Interworking operation with other radios</w:t>
            </w:r>
          </w:p>
        </w:tc>
      </w:tr>
      <w:tr w:rsidR="004371AA" w:rsidRPr="00632EF2" w14:paraId="03855D9E" w14:textId="77777777" w:rsidTr="00ED7E0C">
        <w:tc>
          <w:tcPr>
            <w:tcW w:w="2122" w:type="dxa"/>
          </w:tcPr>
          <w:p w14:paraId="7F646CE4" w14:textId="06C46902"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UE Demo</w:t>
            </w:r>
          </w:p>
        </w:tc>
        <w:tc>
          <w:tcPr>
            <w:tcW w:w="2126" w:type="dxa"/>
            <w:vAlign w:val="center"/>
          </w:tcPr>
          <w:p w14:paraId="4AB270FF" w14:textId="456E8214"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38.101-4</w:t>
            </w:r>
          </w:p>
        </w:tc>
        <w:tc>
          <w:tcPr>
            <w:tcW w:w="6208" w:type="dxa"/>
            <w:vAlign w:val="center"/>
          </w:tcPr>
          <w:p w14:paraId="3AA5BE61" w14:textId="6BB8623C" w:rsidR="004371AA" w:rsidRPr="00632EF2" w:rsidRDefault="004371AA" w:rsidP="004371AA">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NR; User Equipment (UE) radio transmission and reception; Part 4: Performance requirements</w:t>
            </w:r>
          </w:p>
        </w:tc>
      </w:tr>
      <w:tr w:rsidR="006B08BD" w:rsidRPr="00632EF2" w14:paraId="3DAD7D2B" w14:textId="77777777" w:rsidTr="006B08BD">
        <w:tc>
          <w:tcPr>
            <w:tcW w:w="2122" w:type="dxa"/>
          </w:tcPr>
          <w:p w14:paraId="5F69CE5A" w14:textId="7DCBD110" w:rsidR="006B08BD" w:rsidRPr="00632EF2" w:rsidRDefault="006B08BD"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RRM</w:t>
            </w:r>
          </w:p>
        </w:tc>
        <w:tc>
          <w:tcPr>
            <w:tcW w:w="2126" w:type="dxa"/>
          </w:tcPr>
          <w:p w14:paraId="791E3D2A" w14:textId="1434105F" w:rsidR="006B08BD" w:rsidRPr="00632EF2" w:rsidRDefault="006B08BD"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sz w:val="18"/>
                <w:szCs w:val="18"/>
              </w:rPr>
              <w:t>38.133</w:t>
            </w:r>
          </w:p>
        </w:tc>
        <w:tc>
          <w:tcPr>
            <w:tcW w:w="6208" w:type="dxa"/>
          </w:tcPr>
          <w:p w14:paraId="181D78BC" w14:textId="6260C0AD" w:rsidR="006B08BD" w:rsidRPr="00632EF2" w:rsidRDefault="000F29C5" w:rsidP="003A2C9C">
            <w:pPr>
              <w:overflowPunct w:val="0"/>
              <w:autoSpaceDE w:val="0"/>
              <w:autoSpaceDN w:val="0"/>
              <w:adjustRightInd w:val="0"/>
              <w:spacing w:after="180"/>
              <w:textAlignment w:val="baseline"/>
              <w:rPr>
                <w:rFonts w:ascii="Arial" w:hAnsi="Arial" w:cs="Arial"/>
                <w:sz w:val="18"/>
                <w:szCs w:val="18"/>
              </w:rPr>
            </w:pPr>
            <w:r w:rsidRPr="00632EF2">
              <w:rPr>
                <w:rFonts w:ascii="Arial" w:hAnsi="Arial" w:cs="Arial"/>
                <w:color w:val="444444"/>
                <w:sz w:val="18"/>
                <w:szCs w:val="18"/>
              </w:rPr>
              <w:t xml:space="preserve">NR; Requirements for support of radio resource </w:t>
            </w:r>
            <w:r w:rsidR="00C10059" w:rsidRPr="00632EF2">
              <w:rPr>
                <w:rFonts w:ascii="Arial" w:hAnsi="Arial" w:cs="Arial"/>
                <w:color w:val="444444"/>
                <w:sz w:val="18"/>
                <w:szCs w:val="18"/>
              </w:rPr>
              <w:t>management</w:t>
            </w:r>
          </w:p>
        </w:tc>
      </w:tr>
    </w:tbl>
    <w:p w14:paraId="35A825C1" w14:textId="6E674769" w:rsidR="00063D48" w:rsidRDefault="00063D48" w:rsidP="003A2C9C">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 </w:t>
      </w:r>
    </w:p>
    <w:p w14:paraId="065C5814" w14:textId="1E053700" w:rsidR="003F4FF8" w:rsidRDefault="00C10059" w:rsidP="00C86E47">
      <w:pPr>
        <w:overflowPunct w:val="0"/>
        <w:autoSpaceDE w:val="0"/>
        <w:autoSpaceDN w:val="0"/>
        <w:adjustRightInd w:val="0"/>
        <w:spacing w:after="180"/>
        <w:textAlignment w:val="baseline"/>
        <w:rPr>
          <w:rFonts w:cstheme="minorHAnsi"/>
          <w:sz w:val="20"/>
          <w:szCs w:val="20"/>
        </w:rPr>
      </w:pPr>
      <w:r>
        <w:rPr>
          <w:rFonts w:cstheme="minorHAnsi"/>
          <w:sz w:val="20"/>
          <w:szCs w:val="20"/>
        </w:rPr>
        <w:t>As highlighted in the table in UE specification seri</w:t>
      </w:r>
      <w:r w:rsidR="00006F5D">
        <w:rPr>
          <w:rFonts w:cstheme="minorHAnsi"/>
          <w:sz w:val="20"/>
          <w:szCs w:val="20"/>
        </w:rPr>
        <w:t>es,</w:t>
      </w:r>
      <w:r>
        <w:rPr>
          <w:rFonts w:cstheme="minorHAnsi"/>
          <w:sz w:val="20"/>
          <w:szCs w:val="20"/>
        </w:rPr>
        <w:t xml:space="preserve"> the frequency range is explicitly captured in the TS title. </w:t>
      </w:r>
      <w:r w:rsidR="00006F5D">
        <w:rPr>
          <w:rFonts w:cstheme="minorHAnsi"/>
          <w:sz w:val="20"/>
          <w:szCs w:val="20"/>
        </w:rPr>
        <w:t>T</w:t>
      </w:r>
      <w:r>
        <w:rPr>
          <w:rFonts w:cstheme="minorHAnsi"/>
          <w:sz w:val="20"/>
          <w:szCs w:val="20"/>
        </w:rPr>
        <w:t>hose specifications are widely taken as reference in</w:t>
      </w:r>
      <w:r w:rsidR="00B84E0F">
        <w:rPr>
          <w:rFonts w:cstheme="minorHAnsi"/>
          <w:sz w:val="20"/>
          <w:szCs w:val="20"/>
        </w:rPr>
        <w:t xml:space="preserve"> many</w:t>
      </w:r>
      <w:r>
        <w:rPr>
          <w:rFonts w:cstheme="minorHAnsi"/>
          <w:sz w:val="20"/>
          <w:szCs w:val="20"/>
        </w:rPr>
        <w:t xml:space="preserve"> other specifications. </w:t>
      </w:r>
      <w:r w:rsidR="007210F2">
        <w:rPr>
          <w:rFonts w:cstheme="minorHAnsi"/>
          <w:sz w:val="20"/>
          <w:szCs w:val="20"/>
        </w:rPr>
        <w:t>T</w:t>
      </w:r>
      <w:r w:rsidR="007210F2">
        <w:rPr>
          <w:rFonts w:cstheme="minorHAnsi"/>
          <w:sz w:val="20"/>
          <w:szCs w:val="20"/>
        </w:rPr>
        <w:t>he title sh</w:t>
      </w:r>
      <w:r w:rsidR="007210F2">
        <w:rPr>
          <w:rFonts w:cstheme="minorHAnsi"/>
          <w:sz w:val="20"/>
          <w:szCs w:val="20"/>
        </w:rPr>
        <w:t>all</w:t>
      </w:r>
      <w:r w:rsidR="007210F2">
        <w:rPr>
          <w:rFonts w:cstheme="minorHAnsi"/>
          <w:sz w:val="20"/>
          <w:szCs w:val="20"/>
        </w:rPr>
        <w:t xml:space="preserve"> be consistent within its life cycle</w:t>
      </w:r>
      <w:r w:rsidR="007210F2">
        <w:rPr>
          <w:rFonts w:cstheme="minorHAnsi"/>
          <w:sz w:val="20"/>
          <w:szCs w:val="20"/>
        </w:rPr>
        <w:t xml:space="preserve"> </w:t>
      </w:r>
      <w:r>
        <w:rPr>
          <w:rFonts w:cstheme="minorHAnsi"/>
          <w:sz w:val="20"/>
          <w:szCs w:val="20"/>
        </w:rPr>
        <w:t>once the TS is under version control. Consequently, a</w:t>
      </w:r>
      <w:r w:rsidR="003A2C9C" w:rsidRPr="00EC53C0">
        <w:rPr>
          <w:rFonts w:cstheme="minorHAnsi"/>
          <w:sz w:val="20"/>
          <w:szCs w:val="20"/>
        </w:rPr>
        <w:t>t least two more</w:t>
      </w:r>
      <w:r w:rsidR="00B84E0F">
        <w:rPr>
          <w:rFonts w:cstheme="minorHAnsi"/>
          <w:sz w:val="20"/>
          <w:szCs w:val="20"/>
        </w:rPr>
        <w:t xml:space="preserve"> sub-</w:t>
      </w:r>
      <w:r w:rsidR="003A2C9C" w:rsidRPr="00EC53C0">
        <w:rPr>
          <w:rFonts w:cstheme="minorHAnsi"/>
          <w:sz w:val="20"/>
          <w:szCs w:val="20"/>
        </w:rPr>
        <w:t>specifications would be needed to adopt a new frequency range as for single FR and cross FR/RAT.</w:t>
      </w:r>
      <w:r w:rsidR="00B84E0F">
        <w:rPr>
          <w:rFonts w:cstheme="minorHAnsi"/>
          <w:sz w:val="20"/>
          <w:szCs w:val="20"/>
        </w:rPr>
        <w:t xml:space="preserve"> Number would be </w:t>
      </w:r>
      <w:r w:rsidR="007210F2">
        <w:rPr>
          <w:rFonts w:cstheme="minorHAnsi"/>
          <w:sz w:val="20"/>
          <w:szCs w:val="20"/>
        </w:rPr>
        <w:t xml:space="preserve">further </w:t>
      </w:r>
      <w:r w:rsidR="00B84E0F">
        <w:rPr>
          <w:rFonts w:cstheme="minorHAnsi"/>
          <w:sz w:val="20"/>
          <w:szCs w:val="20"/>
        </w:rPr>
        <w:t xml:space="preserve">increased if conformance testing taken into account </w:t>
      </w:r>
      <w:r w:rsidR="007210F2">
        <w:rPr>
          <w:rFonts w:cstheme="minorHAnsi"/>
          <w:sz w:val="20"/>
          <w:szCs w:val="20"/>
        </w:rPr>
        <w:t>including RAN5 specs</w:t>
      </w:r>
      <w:r w:rsidR="00B84E0F">
        <w:rPr>
          <w:rFonts w:cstheme="minorHAnsi"/>
          <w:sz w:val="20"/>
          <w:szCs w:val="20"/>
        </w:rPr>
        <w:t xml:space="preserve">. </w:t>
      </w:r>
      <w:r w:rsidR="00C86E47" w:rsidRPr="00C86E47">
        <w:rPr>
          <w:rFonts w:cstheme="minorHAnsi"/>
          <w:sz w:val="20"/>
          <w:szCs w:val="20"/>
        </w:rPr>
        <w:t xml:space="preserve">Therefore, </w:t>
      </w:r>
      <w:r w:rsidR="00C86E47">
        <w:rPr>
          <w:rFonts w:cstheme="minorHAnsi"/>
          <w:sz w:val="20"/>
          <w:szCs w:val="20"/>
        </w:rPr>
        <w:t>there will be</w:t>
      </w:r>
      <w:r w:rsidR="00632EF2" w:rsidRPr="00C86E47">
        <w:rPr>
          <w:rFonts w:cstheme="minorHAnsi"/>
          <w:sz w:val="20"/>
          <w:szCs w:val="20"/>
        </w:rPr>
        <w:t xml:space="preserve"> penalty </w:t>
      </w:r>
      <w:r w:rsidR="00C86E47" w:rsidRPr="00C86E47">
        <w:rPr>
          <w:rFonts w:cstheme="minorHAnsi"/>
          <w:sz w:val="20"/>
          <w:szCs w:val="20"/>
        </w:rPr>
        <w:t xml:space="preserve">of specification works </w:t>
      </w:r>
      <w:r w:rsidR="00632EF2" w:rsidRPr="00C86E47">
        <w:rPr>
          <w:rFonts w:cstheme="minorHAnsi"/>
          <w:sz w:val="20"/>
          <w:szCs w:val="20"/>
        </w:rPr>
        <w:t>to define new frequency range</w:t>
      </w:r>
      <w:r w:rsidR="00C86E47">
        <w:rPr>
          <w:rFonts w:cstheme="minorHAnsi"/>
          <w:sz w:val="20"/>
          <w:szCs w:val="20"/>
        </w:rPr>
        <w:t xml:space="preserve">. </w:t>
      </w:r>
    </w:p>
    <w:p w14:paraId="15BB86E7" w14:textId="19D4FA7D" w:rsidR="003F4FF8" w:rsidRPr="003F4FF8" w:rsidRDefault="003F4FF8" w:rsidP="003F4FF8">
      <w:pPr>
        <w:rPr>
          <w:rFonts w:cstheme="minorHAnsi" w:hint="eastAsia"/>
          <w:sz w:val="20"/>
          <w:szCs w:val="20"/>
        </w:rPr>
      </w:pPr>
      <w:r>
        <w:rPr>
          <w:rFonts w:cstheme="minorHAnsi" w:hint="eastAsia"/>
          <w:sz w:val="20"/>
          <w:szCs w:val="20"/>
        </w:rPr>
        <w:t>B</w:t>
      </w:r>
      <w:r>
        <w:rPr>
          <w:rFonts w:cstheme="minorHAnsi"/>
          <w:sz w:val="20"/>
          <w:szCs w:val="20"/>
        </w:rPr>
        <w:t xml:space="preserve">ased on above understanding, for beyond 52.6GHz frequency bands, it is suggested to capture these bands as FR2 frequency bands. For </w:t>
      </w:r>
      <w:r w:rsidR="007210F2">
        <w:rPr>
          <w:rFonts w:cstheme="minorHAnsi"/>
          <w:sz w:val="20"/>
          <w:szCs w:val="20"/>
        </w:rPr>
        <w:t>7-24GHz frequency bands</w:t>
      </w:r>
      <w:r>
        <w:rPr>
          <w:rFonts w:cstheme="minorHAnsi"/>
          <w:sz w:val="20"/>
          <w:szCs w:val="20"/>
        </w:rPr>
        <w:t xml:space="preserve">, it is suggested to include </w:t>
      </w:r>
      <w:r w:rsidR="007210F2">
        <w:rPr>
          <w:rFonts w:cstheme="minorHAnsi"/>
          <w:sz w:val="20"/>
          <w:szCs w:val="20"/>
        </w:rPr>
        <w:t xml:space="preserve">these bands </w:t>
      </w:r>
      <w:r>
        <w:rPr>
          <w:rFonts w:cstheme="minorHAnsi"/>
          <w:sz w:val="20"/>
          <w:szCs w:val="20"/>
        </w:rPr>
        <w:t>in the existing FR1 or FR2 in case by case manner, considering the applicable requirements (OTA or conductive requirements). It is also not precluded to define different frequency band number in FR1 and FR2 UE specifications respectively</w:t>
      </w:r>
      <w:r w:rsidR="00C86E47">
        <w:rPr>
          <w:rFonts w:cstheme="minorHAnsi"/>
          <w:sz w:val="20"/>
          <w:szCs w:val="20"/>
        </w:rPr>
        <w:t xml:space="preserve"> for same frequency range</w:t>
      </w:r>
      <w:r>
        <w:rPr>
          <w:rFonts w:cstheme="minorHAnsi"/>
          <w:sz w:val="20"/>
          <w:szCs w:val="20"/>
        </w:rPr>
        <w:t xml:space="preserve">. </w:t>
      </w:r>
    </w:p>
    <w:p w14:paraId="2F1826BE" w14:textId="77777777" w:rsidR="008D5F2B" w:rsidRPr="003C4D41" w:rsidRDefault="008D5F2B" w:rsidP="008D5F2B">
      <w:pPr>
        <w:pStyle w:val="1"/>
        <w:rPr>
          <w:rFonts w:cs="Arial"/>
          <w:lang w:eastAsia="zh-CN"/>
        </w:rPr>
      </w:pPr>
      <w:r>
        <w:rPr>
          <w:rFonts w:cs="Arial"/>
          <w:lang w:eastAsia="zh-CN"/>
        </w:rPr>
        <w:t xml:space="preserve">Conclusion </w:t>
      </w:r>
    </w:p>
    <w:p w14:paraId="4C931792" w14:textId="243BAB50" w:rsidR="00416A72" w:rsidRPr="00192AB4" w:rsidRDefault="009A4AA2" w:rsidP="00DF5202">
      <w:pPr>
        <w:rPr>
          <w:sz w:val="20"/>
          <w:szCs w:val="20"/>
        </w:rPr>
      </w:pPr>
      <w:r>
        <w:rPr>
          <w:sz w:val="20"/>
          <w:szCs w:val="20"/>
        </w:rPr>
        <w:t xml:space="preserve">Our view is that </w:t>
      </w:r>
      <w:r w:rsidR="00C86E47" w:rsidRPr="00C86E47">
        <w:rPr>
          <w:sz w:val="20"/>
          <w:szCs w:val="20"/>
        </w:rPr>
        <w:t xml:space="preserve">no new frequency range </w:t>
      </w:r>
      <w:r w:rsidR="00C86E47">
        <w:rPr>
          <w:sz w:val="20"/>
          <w:szCs w:val="20"/>
        </w:rPr>
        <w:t>shall</w:t>
      </w:r>
      <w:r w:rsidR="00C86E47" w:rsidRPr="00C86E47">
        <w:rPr>
          <w:sz w:val="20"/>
          <w:szCs w:val="20"/>
        </w:rPr>
        <w:t xml:space="preserve"> be introduced in NR life-cycle, new frequency bands beyond current FR1 and FR2 wi</w:t>
      </w:r>
      <w:r w:rsidR="00C86E47">
        <w:rPr>
          <w:sz w:val="20"/>
          <w:szCs w:val="20"/>
        </w:rPr>
        <w:t xml:space="preserve">ll be specified in FR1 and FR2 </w:t>
      </w:r>
      <w:r w:rsidR="00C86E47" w:rsidRPr="00C86E47">
        <w:rPr>
          <w:sz w:val="20"/>
          <w:szCs w:val="20"/>
        </w:rPr>
        <w:t xml:space="preserve">respectively considering applicable </w:t>
      </w:r>
      <w:r w:rsidR="00C86E47">
        <w:rPr>
          <w:rFonts w:hint="eastAsia"/>
          <w:sz w:val="20"/>
          <w:szCs w:val="20"/>
        </w:rPr>
        <w:t>RF</w:t>
      </w:r>
      <w:r w:rsidR="00C86E47">
        <w:rPr>
          <w:sz w:val="20"/>
          <w:szCs w:val="20"/>
        </w:rPr>
        <w:t xml:space="preserve"> </w:t>
      </w:r>
      <w:r w:rsidR="00C86E47">
        <w:rPr>
          <w:rFonts w:hint="eastAsia"/>
          <w:sz w:val="20"/>
          <w:szCs w:val="20"/>
        </w:rPr>
        <w:t>requirements.</w:t>
      </w:r>
      <w:r w:rsidR="00C86E47" w:rsidRPr="00C86E47">
        <w:rPr>
          <w:sz w:val="20"/>
          <w:szCs w:val="20"/>
        </w:rPr>
        <w:t xml:space="preserve"> </w:t>
      </w:r>
    </w:p>
    <w:p w14:paraId="41FC1FFE" w14:textId="77777777" w:rsidR="00501873" w:rsidRPr="003C4D41" w:rsidRDefault="003C4D41" w:rsidP="00501873">
      <w:pPr>
        <w:pStyle w:val="1"/>
        <w:rPr>
          <w:rFonts w:cs="Arial"/>
          <w:lang w:eastAsia="zh-CN"/>
        </w:rPr>
      </w:pPr>
      <w:r>
        <w:rPr>
          <w:rFonts w:cs="Arial"/>
          <w:lang w:eastAsia="zh-CN"/>
        </w:rPr>
        <w:t xml:space="preserve">Reference </w:t>
      </w:r>
    </w:p>
    <w:p w14:paraId="5B9B4861" w14:textId="6D23E41F" w:rsidR="00B8217C" w:rsidRDefault="00A05256" w:rsidP="00EF284B">
      <w:r>
        <w:rPr>
          <w:rFonts w:hint="eastAsia"/>
        </w:rPr>
        <w:t>[1]</w:t>
      </w:r>
      <w:r w:rsidR="00B8217C">
        <w:t xml:space="preserve"> Meeting Report on RAN#90e </w:t>
      </w:r>
    </w:p>
    <w:p w14:paraId="006438F5" w14:textId="40E7434A" w:rsidR="00EF284B" w:rsidRDefault="00B8217C" w:rsidP="00EF284B">
      <w:pPr>
        <w:rPr>
          <w:rFonts w:ascii="Calibri" w:hAnsi="Calibri"/>
          <w:szCs w:val="20"/>
        </w:rPr>
      </w:pPr>
      <w:r>
        <w:t>[2]</w:t>
      </w:r>
      <w:r>
        <w:rPr>
          <w:rFonts w:ascii="Calibri" w:hAnsi="Calibri"/>
          <w:szCs w:val="20"/>
        </w:rPr>
        <w:t>TR</w:t>
      </w:r>
      <w:r w:rsidR="008410EB">
        <w:rPr>
          <w:rFonts w:ascii="Calibri" w:hAnsi="Calibri"/>
          <w:szCs w:val="20"/>
        </w:rPr>
        <w:t>38.803</w:t>
      </w:r>
      <w:r w:rsidR="00736FE4">
        <w:rPr>
          <w:rFonts w:ascii="Calibri" w:hAnsi="Calibri"/>
          <w:szCs w:val="20"/>
        </w:rPr>
        <w:t>:</w:t>
      </w:r>
      <w:r w:rsidR="00EF4D92">
        <w:rPr>
          <w:rFonts w:ascii="Calibri" w:hAnsi="Calibri"/>
          <w:szCs w:val="20"/>
        </w:rPr>
        <w:t xml:space="preserve"> </w:t>
      </w:r>
      <w:r w:rsidR="00736FE4" w:rsidRPr="00736FE4">
        <w:rPr>
          <w:rFonts w:ascii="Calibri" w:hAnsi="Calibri"/>
          <w:szCs w:val="20"/>
        </w:rPr>
        <w:t>Study on new radio access technology: Radio Frequency (RF) and co-existence aspects</w:t>
      </w:r>
    </w:p>
    <w:p w14:paraId="3C7801E0" w14:textId="32076257" w:rsidR="00C66289" w:rsidRDefault="00C66289" w:rsidP="00B93899">
      <w:bookmarkStart w:id="1" w:name="_GoBack"/>
      <w:bookmarkEnd w:id="1"/>
    </w:p>
    <w:sectPr w:rsidR="00C66289"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4903F" w14:textId="77777777" w:rsidR="00411AD9" w:rsidRDefault="00411AD9" w:rsidP="00FF76F4">
      <w:r>
        <w:separator/>
      </w:r>
    </w:p>
  </w:endnote>
  <w:endnote w:type="continuationSeparator" w:id="0">
    <w:p w14:paraId="46C1A455" w14:textId="77777777" w:rsidR="00411AD9" w:rsidRDefault="00411AD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85544" w14:textId="77777777" w:rsidR="00411AD9" w:rsidRDefault="00411AD9" w:rsidP="00FF76F4">
      <w:r>
        <w:separator/>
      </w:r>
    </w:p>
  </w:footnote>
  <w:footnote w:type="continuationSeparator" w:id="0">
    <w:p w14:paraId="75470201" w14:textId="77777777" w:rsidR="00411AD9" w:rsidRDefault="00411AD9"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4A4574C"/>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4C0BD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0A61526A"/>
    <w:multiLevelType w:val="hybridMultilevel"/>
    <w:tmpl w:val="F5F0B92A"/>
    <w:lvl w:ilvl="0" w:tplc="9C20070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6DB5719"/>
    <w:multiLevelType w:val="hybridMultilevel"/>
    <w:tmpl w:val="3E7C6A6A"/>
    <w:lvl w:ilvl="0" w:tplc="96D01756">
      <w:numFmt w:val="bullet"/>
      <w:lvlText w:val="-"/>
      <w:lvlJc w:val="left"/>
      <w:pPr>
        <w:ind w:left="520" w:hanging="420"/>
      </w:pPr>
      <w:rPr>
        <w:rFonts w:ascii="Times New Roman" w:eastAsia="MS Mincho"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53472"/>
    <w:multiLevelType w:val="hybridMultilevel"/>
    <w:tmpl w:val="5592274E"/>
    <w:lvl w:ilvl="0" w:tplc="04090001">
      <w:start w:val="1"/>
      <w:numFmt w:val="bullet"/>
      <w:lvlText w:val=""/>
      <w:lvlJc w:val="left"/>
      <w:pPr>
        <w:ind w:left="750" w:hanging="420"/>
      </w:pPr>
      <w:rPr>
        <w:rFonts w:ascii="Symbol" w:hAnsi="Symbo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7"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647260"/>
    <w:multiLevelType w:val="hybridMultilevel"/>
    <w:tmpl w:val="22B259F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6FE1CE9"/>
    <w:multiLevelType w:val="hybridMultilevel"/>
    <w:tmpl w:val="7E1EC90C"/>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9276C"/>
    <w:multiLevelType w:val="hybridMultilevel"/>
    <w:tmpl w:val="3322084E"/>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3F75D2"/>
    <w:multiLevelType w:val="hybridMultilevel"/>
    <w:tmpl w:val="99FCC864"/>
    <w:lvl w:ilvl="0" w:tplc="6122BAB6">
      <w:start w:val="1"/>
      <w:numFmt w:val="bullet"/>
      <w:lvlText w:val="•"/>
      <w:lvlJc w:val="left"/>
      <w:pPr>
        <w:ind w:left="525" w:hanging="420"/>
      </w:pPr>
      <w:rPr>
        <w:rFonts w:ascii="Arial" w:hAnsi="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6424078A"/>
    <w:multiLevelType w:val="hybridMultilevel"/>
    <w:tmpl w:val="B30ED686"/>
    <w:lvl w:ilvl="0" w:tplc="DA68467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57FB9"/>
    <w:multiLevelType w:val="hybridMultilevel"/>
    <w:tmpl w:val="45C63BCC"/>
    <w:lvl w:ilvl="0" w:tplc="10E2EAF8">
      <w:start w:val="3"/>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6B01565E"/>
    <w:multiLevelType w:val="hybridMultilevel"/>
    <w:tmpl w:val="418E58D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76DD4D70"/>
    <w:multiLevelType w:val="hybridMultilevel"/>
    <w:tmpl w:val="02AE2466"/>
    <w:lvl w:ilvl="0" w:tplc="A9966D48">
      <w:start w:val="1"/>
      <w:numFmt w:val="bullet"/>
      <w:lvlText w:val="–"/>
      <w:lvlJc w:val="left"/>
      <w:pPr>
        <w:tabs>
          <w:tab w:val="num" w:pos="720"/>
        </w:tabs>
        <w:ind w:left="720" w:hanging="360"/>
      </w:pPr>
      <w:rPr>
        <w:rFonts w:ascii="宋体" w:hAnsi="宋体" w:hint="default"/>
      </w:rPr>
    </w:lvl>
    <w:lvl w:ilvl="1" w:tplc="EDD6ECEE">
      <w:start w:val="1"/>
      <w:numFmt w:val="bullet"/>
      <w:lvlText w:val="–"/>
      <w:lvlJc w:val="left"/>
      <w:pPr>
        <w:tabs>
          <w:tab w:val="num" w:pos="1440"/>
        </w:tabs>
        <w:ind w:left="1440" w:hanging="360"/>
      </w:pPr>
      <w:rPr>
        <w:rFonts w:ascii="宋体" w:hAnsi="宋体" w:hint="default"/>
      </w:rPr>
    </w:lvl>
    <w:lvl w:ilvl="2" w:tplc="E64C91C2" w:tentative="1">
      <w:start w:val="1"/>
      <w:numFmt w:val="bullet"/>
      <w:lvlText w:val="–"/>
      <w:lvlJc w:val="left"/>
      <w:pPr>
        <w:tabs>
          <w:tab w:val="num" w:pos="2160"/>
        </w:tabs>
        <w:ind w:left="2160" w:hanging="360"/>
      </w:pPr>
      <w:rPr>
        <w:rFonts w:ascii="宋体" w:hAnsi="宋体" w:hint="default"/>
      </w:rPr>
    </w:lvl>
    <w:lvl w:ilvl="3" w:tplc="44E2E852" w:tentative="1">
      <w:start w:val="1"/>
      <w:numFmt w:val="bullet"/>
      <w:lvlText w:val="–"/>
      <w:lvlJc w:val="left"/>
      <w:pPr>
        <w:tabs>
          <w:tab w:val="num" w:pos="2880"/>
        </w:tabs>
        <w:ind w:left="2880" w:hanging="360"/>
      </w:pPr>
      <w:rPr>
        <w:rFonts w:ascii="宋体" w:hAnsi="宋体" w:hint="default"/>
      </w:rPr>
    </w:lvl>
    <w:lvl w:ilvl="4" w:tplc="195AF4F2" w:tentative="1">
      <w:start w:val="1"/>
      <w:numFmt w:val="bullet"/>
      <w:lvlText w:val="–"/>
      <w:lvlJc w:val="left"/>
      <w:pPr>
        <w:tabs>
          <w:tab w:val="num" w:pos="3600"/>
        </w:tabs>
        <w:ind w:left="3600" w:hanging="360"/>
      </w:pPr>
      <w:rPr>
        <w:rFonts w:ascii="宋体" w:hAnsi="宋体" w:hint="default"/>
      </w:rPr>
    </w:lvl>
    <w:lvl w:ilvl="5" w:tplc="75CC9E74" w:tentative="1">
      <w:start w:val="1"/>
      <w:numFmt w:val="bullet"/>
      <w:lvlText w:val="–"/>
      <w:lvlJc w:val="left"/>
      <w:pPr>
        <w:tabs>
          <w:tab w:val="num" w:pos="4320"/>
        </w:tabs>
        <w:ind w:left="4320" w:hanging="360"/>
      </w:pPr>
      <w:rPr>
        <w:rFonts w:ascii="宋体" w:hAnsi="宋体" w:hint="default"/>
      </w:rPr>
    </w:lvl>
    <w:lvl w:ilvl="6" w:tplc="4DD43FE2" w:tentative="1">
      <w:start w:val="1"/>
      <w:numFmt w:val="bullet"/>
      <w:lvlText w:val="–"/>
      <w:lvlJc w:val="left"/>
      <w:pPr>
        <w:tabs>
          <w:tab w:val="num" w:pos="5040"/>
        </w:tabs>
        <w:ind w:left="5040" w:hanging="360"/>
      </w:pPr>
      <w:rPr>
        <w:rFonts w:ascii="宋体" w:hAnsi="宋体" w:hint="default"/>
      </w:rPr>
    </w:lvl>
    <w:lvl w:ilvl="7" w:tplc="0FB037CA" w:tentative="1">
      <w:start w:val="1"/>
      <w:numFmt w:val="bullet"/>
      <w:lvlText w:val="–"/>
      <w:lvlJc w:val="left"/>
      <w:pPr>
        <w:tabs>
          <w:tab w:val="num" w:pos="5760"/>
        </w:tabs>
        <w:ind w:left="5760" w:hanging="360"/>
      </w:pPr>
      <w:rPr>
        <w:rFonts w:ascii="宋体" w:hAnsi="宋体" w:hint="default"/>
      </w:rPr>
    </w:lvl>
    <w:lvl w:ilvl="8" w:tplc="CFFED8C0"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20332F"/>
    <w:multiLevelType w:val="hybridMultilevel"/>
    <w:tmpl w:val="ACDE5CA8"/>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22"/>
  </w:num>
  <w:num w:numId="4">
    <w:abstractNumId w:val="33"/>
  </w:num>
  <w:num w:numId="5">
    <w:abstractNumId w:val="14"/>
  </w:num>
  <w:num w:numId="6">
    <w:abstractNumId w:val="12"/>
  </w:num>
  <w:num w:numId="7">
    <w:abstractNumId w:val="31"/>
  </w:num>
  <w:num w:numId="8">
    <w:abstractNumId w:val="7"/>
  </w:num>
  <w:num w:numId="9">
    <w:abstractNumId w:val="28"/>
  </w:num>
  <w:num w:numId="10">
    <w:abstractNumId w:val="32"/>
  </w:num>
  <w:num w:numId="11">
    <w:abstractNumId w:val="17"/>
  </w:num>
  <w:num w:numId="12">
    <w:abstractNumId w:val="4"/>
  </w:num>
  <w:num w:numId="13">
    <w:abstractNumId w:val="26"/>
  </w:num>
  <w:num w:numId="14">
    <w:abstractNumId w:val="15"/>
  </w:num>
  <w:num w:numId="15">
    <w:abstractNumId w:val="3"/>
  </w:num>
  <w:num w:numId="16">
    <w:abstractNumId w:val="2"/>
  </w:num>
  <w:num w:numId="17">
    <w:abstractNumId w:val="13"/>
  </w:num>
  <w:num w:numId="18">
    <w:abstractNumId w:val="6"/>
  </w:num>
  <w:num w:numId="19">
    <w:abstractNumId w:val="10"/>
  </w:num>
  <w:num w:numId="20">
    <w:abstractNumId w:val="24"/>
  </w:num>
  <w:num w:numId="21">
    <w:abstractNumId w:val="5"/>
  </w:num>
  <w:num w:numId="22">
    <w:abstractNumId w:val="8"/>
  </w:num>
  <w:num w:numId="23">
    <w:abstractNumId w:val="25"/>
  </w:num>
  <w:num w:numId="24">
    <w:abstractNumId w:val="19"/>
  </w:num>
  <w:num w:numId="25">
    <w:abstractNumId w:val="16"/>
  </w:num>
  <w:num w:numId="26">
    <w:abstractNumId w:val="27"/>
  </w:num>
  <w:num w:numId="27">
    <w:abstractNumId w:val="21"/>
  </w:num>
  <w:num w:numId="28">
    <w:abstractNumId w:val="30"/>
  </w:num>
  <w:num w:numId="29">
    <w:abstractNumId w:val="20"/>
  </w:num>
  <w:num w:numId="30">
    <w:abstractNumId w:val="18"/>
  </w:num>
  <w:num w:numId="31">
    <w:abstractNumId w:val="34"/>
  </w:num>
  <w:num w:numId="32">
    <w:abstractNumId w:val="11"/>
  </w:num>
  <w:num w:numId="33">
    <w:abstractNumId w:val="1"/>
  </w:num>
  <w:num w:numId="34">
    <w:abstractNumId w:val="0"/>
  </w:num>
  <w:num w:numId="3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06F5D"/>
    <w:rsid w:val="00011182"/>
    <w:rsid w:val="00012EFA"/>
    <w:rsid w:val="00014035"/>
    <w:rsid w:val="00014701"/>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465F6"/>
    <w:rsid w:val="0005311F"/>
    <w:rsid w:val="000542D7"/>
    <w:rsid w:val="0005598F"/>
    <w:rsid w:val="0005628E"/>
    <w:rsid w:val="000608D0"/>
    <w:rsid w:val="000637ED"/>
    <w:rsid w:val="0006396D"/>
    <w:rsid w:val="00063D48"/>
    <w:rsid w:val="000645A0"/>
    <w:rsid w:val="0006647E"/>
    <w:rsid w:val="00066835"/>
    <w:rsid w:val="000708E3"/>
    <w:rsid w:val="00070B32"/>
    <w:rsid w:val="000718E9"/>
    <w:rsid w:val="000729C9"/>
    <w:rsid w:val="00073211"/>
    <w:rsid w:val="00080615"/>
    <w:rsid w:val="00081033"/>
    <w:rsid w:val="0008319D"/>
    <w:rsid w:val="00086E14"/>
    <w:rsid w:val="0008793A"/>
    <w:rsid w:val="0009033A"/>
    <w:rsid w:val="0009104B"/>
    <w:rsid w:val="00091E4C"/>
    <w:rsid w:val="00095E1A"/>
    <w:rsid w:val="000A0961"/>
    <w:rsid w:val="000A13E0"/>
    <w:rsid w:val="000A6628"/>
    <w:rsid w:val="000A68C9"/>
    <w:rsid w:val="000A6D1A"/>
    <w:rsid w:val="000A6F09"/>
    <w:rsid w:val="000B1FF8"/>
    <w:rsid w:val="000B2BC0"/>
    <w:rsid w:val="000B693C"/>
    <w:rsid w:val="000C243C"/>
    <w:rsid w:val="000C3255"/>
    <w:rsid w:val="000C3F1F"/>
    <w:rsid w:val="000C4C74"/>
    <w:rsid w:val="000C5302"/>
    <w:rsid w:val="000C54C6"/>
    <w:rsid w:val="000C59C1"/>
    <w:rsid w:val="000C5CD6"/>
    <w:rsid w:val="000D2667"/>
    <w:rsid w:val="000D3C64"/>
    <w:rsid w:val="000D4C59"/>
    <w:rsid w:val="000E137F"/>
    <w:rsid w:val="000E254F"/>
    <w:rsid w:val="000E269A"/>
    <w:rsid w:val="000E33AA"/>
    <w:rsid w:val="000E34BE"/>
    <w:rsid w:val="000E3ED7"/>
    <w:rsid w:val="000E5E68"/>
    <w:rsid w:val="000E6A3A"/>
    <w:rsid w:val="000E7494"/>
    <w:rsid w:val="000F0286"/>
    <w:rsid w:val="000F0A60"/>
    <w:rsid w:val="000F0D30"/>
    <w:rsid w:val="000F0FA3"/>
    <w:rsid w:val="000F29C5"/>
    <w:rsid w:val="000F4EB5"/>
    <w:rsid w:val="000F5165"/>
    <w:rsid w:val="000F53E9"/>
    <w:rsid w:val="000F6B51"/>
    <w:rsid w:val="000F6F63"/>
    <w:rsid w:val="00100301"/>
    <w:rsid w:val="00102A9E"/>
    <w:rsid w:val="00104695"/>
    <w:rsid w:val="00105126"/>
    <w:rsid w:val="001074A1"/>
    <w:rsid w:val="00111284"/>
    <w:rsid w:val="001118BE"/>
    <w:rsid w:val="00115241"/>
    <w:rsid w:val="001163EB"/>
    <w:rsid w:val="001202FD"/>
    <w:rsid w:val="00121276"/>
    <w:rsid w:val="00125394"/>
    <w:rsid w:val="001301DB"/>
    <w:rsid w:val="00131637"/>
    <w:rsid w:val="00131991"/>
    <w:rsid w:val="00132639"/>
    <w:rsid w:val="0013335E"/>
    <w:rsid w:val="0013422D"/>
    <w:rsid w:val="00135DC0"/>
    <w:rsid w:val="00135E7C"/>
    <w:rsid w:val="0013726E"/>
    <w:rsid w:val="001427FB"/>
    <w:rsid w:val="001438AA"/>
    <w:rsid w:val="00143D1D"/>
    <w:rsid w:val="001455C3"/>
    <w:rsid w:val="0014667B"/>
    <w:rsid w:val="001478C5"/>
    <w:rsid w:val="00154782"/>
    <w:rsid w:val="0015790A"/>
    <w:rsid w:val="00162691"/>
    <w:rsid w:val="0016328B"/>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2AB4"/>
    <w:rsid w:val="00195C0C"/>
    <w:rsid w:val="00197EF8"/>
    <w:rsid w:val="001A24EE"/>
    <w:rsid w:val="001A5265"/>
    <w:rsid w:val="001A7B9C"/>
    <w:rsid w:val="001B3133"/>
    <w:rsid w:val="001B55E0"/>
    <w:rsid w:val="001B6ED9"/>
    <w:rsid w:val="001C0816"/>
    <w:rsid w:val="001C4FD0"/>
    <w:rsid w:val="001C5BB2"/>
    <w:rsid w:val="001C66F3"/>
    <w:rsid w:val="001C7FED"/>
    <w:rsid w:val="001D02BC"/>
    <w:rsid w:val="001D0887"/>
    <w:rsid w:val="001D0DE5"/>
    <w:rsid w:val="001D100E"/>
    <w:rsid w:val="001D5002"/>
    <w:rsid w:val="001D5E02"/>
    <w:rsid w:val="001D6341"/>
    <w:rsid w:val="001D7324"/>
    <w:rsid w:val="001D7F24"/>
    <w:rsid w:val="001E11C5"/>
    <w:rsid w:val="001E192C"/>
    <w:rsid w:val="001E2A71"/>
    <w:rsid w:val="001E33B7"/>
    <w:rsid w:val="001E374A"/>
    <w:rsid w:val="001E749D"/>
    <w:rsid w:val="001F192F"/>
    <w:rsid w:val="002007FA"/>
    <w:rsid w:val="00202A5F"/>
    <w:rsid w:val="00203105"/>
    <w:rsid w:val="00206666"/>
    <w:rsid w:val="00207D97"/>
    <w:rsid w:val="00210B3E"/>
    <w:rsid w:val="00212625"/>
    <w:rsid w:val="00212808"/>
    <w:rsid w:val="00213744"/>
    <w:rsid w:val="00215310"/>
    <w:rsid w:val="002206F2"/>
    <w:rsid w:val="00220EC2"/>
    <w:rsid w:val="00223B39"/>
    <w:rsid w:val="002277E9"/>
    <w:rsid w:val="002301BF"/>
    <w:rsid w:val="00230788"/>
    <w:rsid w:val="00230B99"/>
    <w:rsid w:val="00231DD6"/>
    <w:rsid w:val="00236AF8"/>
    <w:rsid w:val="0023725B"/>
    <w:rsid w:val="002416AB"/>
    <w:rsid w:val="0024181C"/>
    <w:rsid w:val="002418EC"/>
    <w:rsid w:val="00246EBC"/>
    <w:rsid w:val="00247675"/>
    <w:rsid w:val="002513AE"/>
    <w:rsid w:val="00252606"/>
    <w:rsid w:val="00256307"/>
    <w:rsid w:val="00257B53"/>
    <w:rsid w:val="00257FB9"/>
    <w:rsid w:val="00260E9E"/>
    <w:rsid w:val="002611BB"/>
    <w:rsid w:val="00261C0C"/>
    <w:rsid w:val="00262C6C"/>
    <w:rsid w:val="002634B3"/>
    <w:rsid w:val="0026497D"/>
    <w:rsid w:val="00264CF1"/>
    <w:rsid w:val="0026676E"/>
    <w:rsid w:val="00266E04"/>
    <w:rsid w:val="002671F3"/>
    <w:rsid w:val="00267AAF"/>
    <w:rsid w:val="00271B14"/>
    <w:rsid w:val="0027316B"/>
    <w:rsid w:val="002741FD"/>
    <w:rsid w:val="00277496"/>
    <w:rsid w:val="00281E20"/>
    <w:rsid w:val="00285A74"/>
    <w:rsid w:val="00286C6A"/>
    <w:rsid w:val="0028728D"/>
    <w:rsid w:val="002902A9"/>
    <w:rsid w:val="00294C44"/>
    <w:rsid w:val="00295175"/>
    <w:rsid w:val="0029597E"/>
    <w:rsid w:val="00295E25"/>
    <w:rsid w:val="002971D6"/>
    <w:rsid w:val="00297965"/>
    <w:rsid w:val="002A05DD"/>
    <w:rsid w:val="002A0C18"/>
    <w:rsid w:val="002A249C"/>
    <w:rsid w:val="002A5A60"/>
    <w:rsid w:val="002A62EE"/>
    <w:rsid w:val="002A727E"/>
    <w:rsid w:val="002B0953"/>
    <w:rsid w:val="002B1265"/>
    <w:rsid w:val="002B4C48"/>
    <w:rsid w:val="002C22C2"/>
    <w:rsid w:val="002C2435"/>
    <w:rsid w:val="002C333F"/>
    <w:rsid w:val="002C7731"/>
    <w:rsid w:val="002C7C95"/>
    <w:rsid w:val="002D33BF"/>
    <w:rsid w:val="002D3A6C"/>
    <w:rsid w:val="002D6806"/>
    <w:rsid w:val="002D77F6"/>
    <w:rsid w:val="002E0E33"/>
    <w:rsid w:val="002E2712"/>
    <w:rsid w:val="002E2FCA"/>
    <w:rsid w:val="002E4E27"/>
    <w:rsid w:val="002E7536"/>
    <w:rsid w:val="002F0731"/>
    <w:rsid w:val="002F1435"/>
    <w:rsid w:val="002F1E1B"/>
    <w:rsid w:val="002F2470"/>
    <w:rsid w:val="002F4599"/>
    <w:rsid w:val="002F4833"/>
    <w:rsid w:val="00302863"/>
    <w:rsid w:val="003029C2"/>
    <w:rsid w:val="00302B86"/>
    <w:rsid w:val="00303031"/>
    <w:rsid w:val="00307553"/>
    <w:rsid w:val="00307F2F"/>
    <w:rsid w:val="00312862"/>
    <w:rsid w:val="00313FF8"/>
    <w:rsid w:val="0031560F"/>
    <w:rsid w:val="00320A38"/>
    <w:rsid w:val="003217EF"/>
    <w:rsid w:val="003218D7"/>
    <w:rsid w:val="00322B3B"/>
    <w:rsid w:val="003252C5"/>
    <w:rsid w:val="0032668A"/>
    <w:rsid w:val="00330269"/>
    <w:rsid w:val="003303D9"/>
    <w:rsid w:val="00330CE3"/>
    <w:rsid w:val="00330D88"/>
    <w:rsid w:val="00330F3A"/>
    <w:rsid w:val="00333E6B"/>
    <w:rsid w:val="00334231"/>
    <w:rsid w:val="00335649"/>
    <w:rsid w:val="003357D8"/>
    <w:rsid w:val="00336F41"/>
    <w:rsid w:val="00337F96"/>
    <w:rsid w:val="00341535"/>
    <w:rsid w:val="0034562D"/>
    <w:rsid w:val="003456AF"/>
    <w:rsid w:val="00345FB8"/>
    <w:rsid w:val="003471B3"/>
    <w:rsid w:val="00347394"/>
    <w:rsid w:val="00347990"/>
    <w:rsid w:val="00350240"/>
    <w:rsid w:val="00352B38"/>
    <w:rsid w:val="00354C44"/>
    <w:rsid w:val="0035697E"/>
    <w:rsid w:val="00356EA2"/>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21D7"/>
    <w:rsid w:val="0038370A"/>
    <w:rsid w:val="003933B7"/>
    <w:rsid w:val="00393B1F"/>
    <w:rsid w:val="00394462"/>
    <w:rsid w:val="00396A44"/>
    <w:rsid w:val="003A0365"/>
    <w:rsid w:val="003A0F8B"/>
    <w:rsid w:val="003A2C9C"/>
    <w:rsid w:val="003A3D0E"/>
    <w:rsid w:val="003A4B6D"/>
    <w:rsid w:val="003A4EAB"/>
    <w:rsid w:val="003A4FBD"/>
    <w:rsid w:val="003A5061"/>
    <w:rsid w:val="003B3155"/>
    <w:rsid w:val="003B7398"/>
    <w:rsid w:val="003B7523"/>
    <w:rsid w:val="003B779D"/>
    <w:rsid w:val="003C0405"/>
    <w:rsid w:val="003C1610"/>
    <w:rsid w:val="003C38C2"/>
    <w:rsid w:val="003C4BC7"/>
    <w:rsid w:val="003C4D41"/>
    <w:rsid w:val="003C5997"/>
    <w:rsid w:val="003C5F2E"/>
    <w:rsid w:val="003C7B0C"/>
    <w:rsid w:val="003C7C30"/>
    <w:rsid w:val="003C7C47"/>
    <w:rsid w:val="003D081D"/>
    <w:rsid w:val="003D15DD"/>
    <w:rsid w:val="003D3843"/>
    <w:rsid w:val="003D3E5E"/>
    <w:rsid w:val="003D3EE8"/>
    <w:rsid w:val="003D4810"/>
    <w:rsid w:val="003D5CA7"/>
    <w:rsid w:val="003D783D"/>
    <w:rsid w:val="003E1BCB"/>
    <w:rsid w:val="003E32AA"/>
    <w:rsid w:val="003E3D29"/>
    <w:rsid w:val="003E5107"/>
    <w:rsid w:val="003E53C0"/>
    <w:rsid w:val="003E76E4"/>
    <w:rsid w:val="003F05EF"/>
    <w:rsid w:val="003F1336"/>
    <w:rsid w:val="003F2522"/>
    <w:rsid w:val="003F3D0A"/>
    <w:rsid w:val="003F419B"/>
    <w:rsid w:val="003F4FF8"/>
    <w:rsid w:val="003F6833"/>
    <w:rsid w:val="00401861"/>
    <w:rsid w:val="00402FB6"/>
    <w:rsid w:val="0040310B"/>
    <w:rsid w:val="00403FBC"/>
    <w:rsid w:val="004049D7"/>
    <w:rsid w:val="00406F5F"/>
    <w:rsid w:val="00411AD9"/>
    <w:rsid w:val="004154B5"/>
    <w:rsid w:val="00416A72"/>
    <w:rsid w:val="00417A6F"/>
    <w:rsid w:val="0042000F"/>
    <w:rsid w:val="00420BBA"/>
    <w:rsid w:val="0042257B"/>
    <w:rsid w:val="00422714"/>
    <w:rsid w:val="00423A51"/>
    <w:rsid w:val="0042479B"/>
    <w:rsid w:val="004262D6"/>
    <w:rsid w:val="00426684"/>
    <w:rsid w:val="00427457"/>
    <w:rsid w:val="0042771E"/>
    <w:rsid w:val="00434276"/>
    <w:rsid w:val="004353C7"/>
    <w:rsid w:val="004371AA"/>
    <w:rsid w:val="00437223"/>
    <w:rsid w:val="0044026E"/>
    <w:rsid w:val="0044129E"/>
    <w:rsid w:val="004431D0"/>
    <w:rsid w:val="00443210"/>
    <w:rsid w:val="00445269"/>
    <w:rsid w:val="00447E1F"/>
    <w:rsid w:val="0045116C"/>
    <w:rsid w:val="00452451"/>
    <w:rsid w:val="00452999"/>
    <w:rsid w:val="00453F41"/>
    <w:rsid w:val="00456040"/>
    <w:rsid w:val="00456219"/>
    <w:rsid w:val="00457F78"/>
    <w:rsid w:val="00460F58"/>
    <w:rsid w:val="00461C52"/>
    <w:rsid w:val="00463740"/>
    <w:rsid w:val="00464581"/>
    <w:rsid w:val="004677B8"/>
    <w:rsid w:val="00470739"/>
    <w:rsid w:val="00471EE8"/>
    <w:rsid w:val="00474B4F"/>
    <w:rsid w:val="0047586E"/>
    <w:rsid w:val="00475927"/>
    <w:rsid w:val="004779DD"/>
    <w:rsid w:val="00481C9A"/>
    <w:rsid w:val="00486410"/>
    <w:rsid w:val="004870CC"/>
    <w:rsid w:val="004877FB"/>
    <w:rsid w:val="0049021B"/>
    <w:rsid w:val="00490806"/>
    <w:rsid w:val="004914E1"/>
    <w:rsid w:val="0049591A"/>
    <w:rsid w:val="00495BB4"/>
    <w:rsid w:val="00496D85"/>
    <w:rsid w:val="00497B60"/>
    <w:rsid w:val="004A0FB2"/>
    <w:rsid w:val="004A46A8"/>
    <w:rsid w:val="004A6CB8"/>
    <w:rsid w:val="004A7787"/>
    <w:rsid w:val="004B6A8E"/>
    <w:rsid w:val="004B76A3"/>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0F0"/>
    <w:rsid w:val="004F3347"/>
    <w:rsid w:val="004F33BC"/>
    <w:rsid w:val="004F385E"/>
    <w:rsid w:val="004F49D2"/>
    <w:rsid w:val="004F5434"/>
    <w:rsid w:val="004F5AB4"/>
    <w:rsid w:val="004F6232"/>
    <w:rsid w:val="004F7601"/>
    <w:rsid w:val="004F77CA"/>
    <w:rsid w:val="00500D19"/>
    <w:rsid w:val="00501873"/>
    <w:rsid w:val="00503850"/>
    <w:rsid w:val="00503952"/>
    <w:rsid w:val="00504849"/>
    <w:rsid w:val="00505ACA"/>
    <w:rsid w:val="00506DB2"/>
    <w:rsid w:val="0051178B"/>
    <w:rsid w:val="00511D7F"/>
    <w:rsid w:val="005142E8"/>
    <w:rsid w:val="005213B5"/>
    <w:rsid w:val="00523773"/>
    <w:rsid w:val="00523CF3"/>
    <w:rsid w:val="005246CB"/>
    <w:rsid w:val="00524D84"/>
    <w:rsid w:val="005256B9"/>
    <w:rsid w:val="00531509"/>
    <w:rsid w:val="00534665"/>
    <w:rsid w:val="005346DE"/>
    <w:rsid w:val="00534D2B"/>
    <w:rsid w:val="005359F4"/>
    <w:rsid w:val="00535B49"/>
    <w:rsid w:val="00536D9A"/>
    <w:rsid w:val="00536FFB"/>
    <w:rsid w:val="00537A2F"/>
    <w:rsid w:val="00546198"/>
    <w:rsid w:val="005461E2"/>
    <w:rsid w:val="005518A8"/>
    <w:rsid w:val="00552DB0"/>
    <w:rsid w:val="005542D3"/>
    <w:rsid w:val="00561EED"/>
    <w:rsid w:val="0056787C"/>
    <w:rsid w:val="00571F43"/>
    <w:rsid w:val="005722AC"/>
    <w:rsid w:val="00577AA8"/>
    <w:rsid w:val="00577E33"/>
    <w:rsid w:val="00581D9D"/>
    <w:rsid w:val="00582F35"/>
    <w:rsid w:val="00584156"/>
    <w:rsid w:val="005855BE"/>
    <w:rsid w:val="00586132"/>
    <w:rsid w:val="00587CC4"/>
    <w:rsid w:val="00587FF3"/>
    <w:rsid w:val="00591F8F"/>
    <w:rsid w:val="00593FEF"/>
    <w:rsid w:val="00594B4A"/>
    <w:rsid w:val="005A09F3"/>
    <w:rsid w:val="005A1066"/>
    <w:rsid w:val="005A3410"/>
    <w:rsid w:val="005A465F"/>
    <w:rsid w:val="005A4BE2"/>
    <w:rsid w:val="005A770A"/>
    <w:rsid w:val="005B2965"/>
    <w:rsid w:val="005B49A1"/>
    <w:rsid w:val="005C1E99"/>
    <w:rsid w:val="005C4FC8"/>
    <w:rsid w:val="005C5399"/>
    <w:rsid w:val="005C632B"/>
    <w:rsid w:val="005D0052"/>
    <w:rsid w:val="005D08C9"/>
    <w:rsid w:val="005D13E4"/>
    <w:rsid w:val="005D3BC1"/>
    <w:rsid w:val="005D4616"/>
    <w:rsid w:val="005E0197"/>
    <w:rsid w:val="005E2128"/>
    <w:rsid w:val="005E2E31"/>
    <w:rsid w:val="005E3919"/>
    <w:rsid w:val="005E54A9"/>
    <w:rsid w:val="005E5C3A"/>
    <w:rsid w:val="005E6211"/>
    <w:rsid w:val="005E62CC"/>
    <w:rsid w:val="005E76A8"/>
    <w:rsid w:val="005F01DD"/>
    <w:rsid w:val="005F3D83"/>
    <w:rsid w:val="005F7D4E"/>
    <w:rsid w:val="00600417"/>
    <w:rsid w:val="00602538"/>
    <w:rsid w:val="00602FD4"/>
    <w:rsid w:val="00605FDE"/>
    <w:rsid w:val="006060F6"/>
    <w:rsid w:val="0061075C"/>
    <w:rsid w:val="00611861"/>
    <w:rsid w:val="006126A1"/>
    <w:rsid w:val="0061298D"/>
    <w:rsid w:val="00614E6E"/>
    <w:rsid w:val="0061765F"/>
    <w:rsid w:val="00617A8C"/>
    <w:rsid w:val="00620683"/>
    <w:rsid w:val="006224DF"/>
    <w:rsid w:val="00622C02"/>
    <w:rsid w:val="006240DC"/>
    <w:rsid w:val="0062510F"/>
    <w:rsid w:val="00625531"/>
    <w:rsid w:val="00625576"/>
    <w:rsid w:val="00626E32"/>
    <w:rsid w:val="00627F5C"/>
    <w:rsid w:val="00630726"/>
    <w:rsid w:val="00632EF2"/>
    <w:rsid w:val="00633715"/>
    <w:rsid w:val="006340A9"/>
    <w:rsid w:val="0064136D"/>
    <w:rsid w:val="00641DC3"/>
    <w:rsid w:val="00641E99"/>
    <w:rsid w:val="00642D16"/>
    <w:rsid w:val="006454BA"/>
    <w:rsid w:val="0065001A"/>
    <w:rsid w:val="00650803"/>
    <w:rsid w:val="006557EE"/>
    <w:rsid w:val="00655C68"/>
    <w:rsid w:val="00657398"/>
    <w:rsid w:val="00661789"/>
    <w:rsid w:val="00661A86"/>
    <w:rsid w:val="0066395E"/>
    <w:rsid w:val="0066484F"/>
    <w:rsid w:val="00666CF0"/>
    <w:rsid w:val="00672ACC"/>
    <w:rsid w:val="006743CD"/>
    <w:rsid w:val="0068011B"/>
    <w:rsid w:val="0068271C"/>
    <w:rsid w:val="00682D8B"/>
    <w:rsid w:val="00682E8C"/>
    <w:rsid w:val="00683FE1"/>
    <w:rsid w:val="00684C1D"/>
    <w:rsid w:val="00690C08"/>
    <w:rsid w:val="00691B0B"/>
    <w:rsid w:val="00693E39"/>
    <w:rsid w:val="00693EA4"/>
    <w:rsid w:val="00694C72"/>
    <w:rsid w:val="00696AA9"/>
    <w:rsid w:val="00697510"/>
    <w:rsid w:val="006A031A"/>
    <w:rsid w:val="006A2402"/>
    <w:rsid w:val="006A262E"/>
    <w:rsid w:val="006A3761"/>
    <w:rsid w:val="006A3DE7"/>
    <w:rsid w:val="006A4700"/>
    <w:rsid w:val="006A47F4"/>
    <w:rsid w:val="006A55C5"/>
    <w:rsid w:val="006A64AE"/>
    <w:rsid w:val="006A674C"/>
    <w:rsid w:val="006B08BD"/>
    <w:rsid w:val="006B0979"/>
    <w:rsid w:val="006B1ECD"/>
    <w:rsid w:val="006B4112"/>
    <w:rsid w:val="006B4DDE"/>
    <w:rsid w:val="006C03E8"/>
    <w:rsid w:val="006C0DD2"/>
    <w:rsid w:val="006C2A6A"/>
    <w:rsid w:val="006C4F30"/>
    <w:rsid w:val="006C6724"/>
    <w:rsid w:val="006C6C7A"/>
    <w:rsid w:val="006C7868"/>
    <w:rsid w:val="006D5E61"/>
    <w:rsid w:val="006E6C2E"/>
    <w:rsid w:val="006F1AA4"/>
    <w:rsid w:val="006F1D96"/>
    <w:rsid w:val="006F2A8B"/>
    <w:rsid w:val="006F7042"/>
    <w:rsid w:val="006F762C"/>
    <w:rsid w:val="006F7668"/>
    <w:rsid w:val="006F767E"/>
    <w:rsid w:val="00700908"/>
    <w:rsid w:val="00701350"/>
    <w:rsid w:val="00702395"/>
    <w:rsid w:val="0070353D"/>
    <w:rsid w:val="007047EF"/>
    <w:rsid w:val="00705546"/>
    <w:rsid w:val="007122B5"/>
    <w:rsid w:val="00712B72"/>
    <w:rsid w:val="00712D14"/>
    <w:rsid w:val="0071316C"/>
    <w:rsid w:val="0071351D"/>
    <w:rsid w:val="00713839"/>
    <w:rsid w:val="007144F1"/>
    <w:rsid w:val="007151C9"/>
    <w:rsid w:val="00715EF6"/>
    <w:rsid w:val="0072021A"/>
    <w:rsid w:val="0072072D"/>
    <w:rsid w:val="007210F2"/>
    <w:rsid w:val="007218D4"/>
    <w:rsid w:val="00722777"/>
    <w:rsid w:val="00726539"/>
    <w:rsid w:val="0072746D"/>
    <w:rsid w:val="00727D64"/>
    <w:rsid w:val="007300FC"/>
    <w:rsid w:val="00731137"/>
    <w:rsid w:val="0073178D"/>
    <w:rsid w:val="00733B09"/>
    <w:rsid w:val="00733EF6"/>
    <w:rsid w:val="00736FE4"/>
    <w:rsid w:val="00737D52"/>
    <w:rsid w:val="00737E37"/>
    <w:rsid w:val="0074369C"/>
    <w:rsid w:val="00746FD6"/>
    <w:rsid w:val="0074702E"/>
    <w:rsid w:val="00751221"/>
    <w:rsid w:val="00752A96"/>
    <w:rsid w:val="00753D40"/>
    <w:rsid w:val="00756A98"/>
    <w:rsid w:val="00760666"/>
    <w:rsid w:val="00760BDF"/>
    <w:rsid w:val="007618FB"/>
    <w:rsid w:val="00763B3D"/>
    <w:rsid w:val="007643CB"/>
    <w:rsid w:val="00764AED"/>
    <w:rsid w:val="007677F9"/>
    <w:rsid w:val="00770CF4"/>
    <w:rsid w:val="00771236"/>
    <w:rsid w:val="007713A1"/>
    <w:rsid w:val="0077223A"/>
    <w:rsid w:val="007737DD"/>
    <w:rsid w:val="00776713"/>
    <w:rsid w:val="00776AF8"/>
    <w:rsid w:val="00776B74"/>
    <w:rsid w:val="00776DBC"/>
    <w:rsid w:val="00782D25"/>
    <w:rsid w:val="007833AA"/>
    <w:rsid w:val="007844D9"/>
    <w:rsid w:val="00784737"/>
    <w:rsid w:val="007857D2"/>
    <w:rsid w:val="00787D41"/>
    <w:rsid w:val="00787DA2"/>
    <w:rsid w:val="00791AA0"/>
    <w:rsid w:val="0079272B"/>
    <w:rsid w:val="007A0DA3"/>
    <w:rsid w:val="007A15A2"/>
    <w:rsid w:val="007A39A0"/>
    <w:rsid w:val="007A4E3C"/>
    <w:rsid w:val="007A6237"/>
    <w:rsid w:val="007A7555"/>
    <w:rsid w:val="007A7B02"/>
    <w:rsid w:val="007B1FF5"/>
    <w:rsid w:val="007B2E04"/>
    <w:rsid w:val="007B5960"/>
    <w:rsid w:val="007B6773"/>
    <w:rsid w:val="007B6C46"/>
    <w:rsid w:val="007C23F4"/>
    <w:rsid w:val="007C2796"/>
    <w:rsid w:val="007C2C6D"/>
    <w:rsid w:val="007C4353"/>
    <w:rsid w:val="007C4414"/>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2D0E"/>
    <w:rsid w:val="00803C7D"/>
    <w:rsid w:val="00805C88"/>
    <w:rsid w:val="00807B49"/>
    <w:rsid w:val="008116DF"/>
    <w:rsid w:val="00812D10"/>
    <w:rsid w:val="008137E4"/>
    <w:rsid w:val="0081547C"/>
    <w:rsid w:val="008200CF"/>
    <w:rsid w:val="0082488E"/>
    <w:rsid w:val="00826166"/>
    <w:rsid w:val="008301D0"/>
    <w:rsid w:val="00831AB1"/>
    <w:rsid w:val="00834611"/>
    <w:rsid w:val="00836532"/>
    <w:rsid w:val="00836FD2"/>
    <w:rsid w:val="00840088"/>
    <w:rsid w:val="008408FA"/>
    <w:rsid w:val="008410EB"/>
    <w:rsid w:val="008412CA"/>
    <w:rsid w:val="00842028"/>
    <w:rsid w:val="00842E21"/>
    <w:rsid w:val="008439C7"/>
    <w:rsid w:val="00845EDE"/>
    <w:rsid w:val="00846694"/>
    <w:rsid w:val="008508C0"/>
    <w:rsid w:val="0085128D"/>
    <w:rsid w:val="00851583"/>
    <w:rsid w:val="00852054"/>
    <w:rsid w:val="00853F0A"/>
    <w:rsid w:val="0085477F"/>
    <w:rsid w:val="00855436"/>
    <w:rsid w:val="00855466"/>
    <w:rsid w:val="00862540"/>
    <w:rsid w:val="00864AE2"/>
    <w:rsid w:val="00867017"/>
    <w:rsid w:val="00867372"/>
    <w:rsid w:val="0087005C"/>
    <w:rsid w:val="00871F57"/>
    <w:rsid w:val="00874064"/>
    <w:rsid w:val="00875009"/>
    <w:rsid w:val="00875FD6"/>
    <w:rsid w:val="00876864"/>
    <w:rsid w:val="008806B5"/>
    <w:rsid w:val="008859FF"/>
    <w:rsid w:val="00887DF9"/>
    <w:rsid w:val="00891FEB"/>
    <w:rsid w:val="00893B4F"/>
    <w:rsid w:val="008A07DB"/>
    <w:rsid w:val="008A0CD1"/>
    <w:rsid w:val="008A2078"/>
    <w:rsid w:val="008A2B51"/>
    <w:rsid w:val="008A2BFE"/>
    <w:rsid w:val="008A5761"/>
    <w:rsid w:val="008A60DA"/>
    <w:rsid w:val="008B044B"/>
    <w:rsid w:val="008B06DE"/>
    <w:rsid w:val="008B1AD2"/>
    <w:rsid w:val="008B1FEC"/>
    <w:rsid w:val="008B40EB"/>
    <w:rsid w:val="008B574D"/>
    <w:rsid w:val="008B5AE4"/>
    <w:rsid w:val="008B5C2D"/>
    <w:rsid w:val="008B5CCF"/>
    <w:rsid w:val="008B6418"/>
    <w:rsid w:val="008B652C"/>
    <w:rsid w:val="008B7AB0"/>
    <w:rsid w:val="008C2657"/>
    <w:rsid w:val="008C37C3"/>
    <w:rsid w:val="008C3FC6"/>
    <w:rsid w:val="008C63DB"/>
    <w:rsid w:val="008D0B7A"/>
    <w:rsid w:val="008D1A9D"/>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0D1A"/>
    <w:rsid w:val="00902FFA"/>
    <w:rsid w:val="00903AA4"/>
    <w:rsid w:val="00903FA3"/>
    <w:rsid w:val="00904602"/>
    <w:rsid w:val="00904BC6"/>
    <w:rsid w:val="00907E67"/>
    <w:rsid w:val="00910877"/>
    <w:rsid w:val="00912E5E"/>
    <w:rsid w:val="00913B63"/>
    <w:rsid w:val="00917D10"/>
    <w:rsid w:val="00920F41"/>
    <w:rsid w:val="00921F0A"/>
    <w:rsid w:val="009225FB"/>
    <w:rsid w:val="00922E06"/>
    <w:rsid w:val="0092764E"/>
    <w:rsid w:val="00930DD4"/>
    <w:rsid w:val="00932398"/>
    <w:rsid w:val="00932C93"/>
    <w:rsid w:val="00935BD8"/>
    <w:rsid w:val="00936118"/>
    <w:rsid w:val="00936592"/>
    <w:rsid w:val="00937704"/>
    <w:rsid w:val="00942C77"/>
    <w:rsid w:val="00943A21"/>
    <w:rsid w:val="00944B33"/>
    <w:rsid w:val="00946ADB"/>
    <w:rsid w:val="0094719C"/>
    <w:rsid w:val="00947632"/>
    <w:rsid w:val="00947C71"/>
    <w:rsid w:val="00951A8E"/>
    <w:rsid w:val="009525FB"/>
    <w:rsid w:val="009527D5"/>
    <w:rsid w:val="00953116"/>
    <w:rsid w:val="009604FA"/>
    <w:rsid w:val="009611CD"/>
    <w:rsid w:val="0096199D"/>
    <w:rsid w:val="00962181"/>
    <w:rsid w:val="00963821"/>
    <w:rsid w:val="00963D5B"/>
    <w:rsid w:val="0096455B"/>
    <w:rsid w:val="00964BB3"/>
    <w:rsid w:val="00964F6C"/>
    <w:rsid w:val="00972056"/>
    <w:rsid w:val="00972967"/>
    <w:rsid w:val="00973B9C"/>
    <w:rsid w:val="009744B6"/>
    <w:rsid w:val="00980ED1"/>
    <w:rsid w:val="00981226"/>
    <w:rsid w:val="00982D94"/>
    <w:rsid w:val="0098357D"/>
    <w:rsid w:val="00983B68"/>
    <w:rsid w:val="00985053"/>
    <w:rsid w:val="009875B4"/>
    <w:rsid w:val="0098779D"/>
    <w:rsid w:val="00992034"/>
    <w:rsid w:val="00994660"/>
    <w:rsid w:val="00994AA9"/>
    <w:rsid w:val="00997BBC"/>
    <w:rsid w:val="009A133B"/>
    <w:rsid w:val="009A1FEC"/>
    <w:rsid w:val="009A4AA2"/>
    <w:rsid w:val="009A5C5C"/>
    <w:rsid w:val="009B2EF9"/>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45A7"/>
    <w:rsid w:val="009D5467"/>
    <w:rsid w:val="009D553B"/>
    <w:rsid w:val="009E0C4D"/>
    <w:rsid w:val="009E0E6E"/>
    <w:rsid w:val="009E2F63"/>
    <w:rsid w:val="009E4907"/>
    <w:rsid w:val="009E4E6C"/>
    <w:rsid w:val="009E6443"/>
    <w:rsid w:val="009E6DDF"/>
    <w:rsid w:val="009E7C4F"/>
    <w:rsid w:val="009F00BC"/>
    <w:rsid w:val="009F1642"/>
    <w:rsid w:val="009F2444"/>
    <w:rsid w:val="009F4BE4"/>
    <w:rsid w:val="009F4DF6"/>
    <w:rsid w:val="009F54C7"/>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725"/>
    <w:rsid w:val="00A26A24"/>
    <w:rsid w:val="00A26A7B"/>
    <w:rsid w:val="00A26D83"/>
    <w:rsid w:val="00A3079B"/>
    <w:rsid w:val="00A34794"/>
    <w:rsid w:val="00A35219"/>
    <w:rsid w:val="00A37C31"/>
    <w:rsid w:val="00A40855"/>
    <w:rsid w:val="00A40F6A"/>
    <w:rsid w:val="00A43A66"/>
    <w:rsid w:val="00A450BA"/>
    <w:rsid w:val="00A45C69"/>
    <w:rsid w:val="00A46744"/>
    <w:rsid w:val="00A50C05"/>
    <w:rsid w:val="00A54104"/>
    <w:rsid w:val="00A54283"/>
    <w:rsid w:val="00A544BA"/>
    <w:rsid w:val="00A55913"/>
    <w:rsid w:val="00A5699E"/>
    <w:rsid w:val="00A6034F"/>
    <w:rsid w:val="00A60DF1"/>
    <w:rsid w:val="00A6184D"/>
    <w:rsid w:val="00A6191E"/>
    <w:rsid w:val="00A61CAF"/>
    <w:rsid w:val="00A660EB"/>
    <w:rsid w:val="00A66FFF"/>
    <w:rsid w:val="00A71D64"/>
    <w:rsid w:val="00A742B3"/>
    <w:rsid w:val="00A75A40"/>
    <w:rsid w:val="00A812D6"/>
    <w:rsid w:val="00A8136B"/>
    <w:rsid w:val="00A82EDB"/>
    <w:rsid w:val="00A830FC"/>
    <w:rsid w:val="00A87E14"/>
    <w:rsid w:val="00A87F67"/>
    <w:rsid w:val="00A90B54"/>
    <w:rsid w:val="00A90C98"/>
    <w:rsid w:val="00A9116F"/>
    <w:rsid w:val="00A91654"/>
    <w:rsid w:val="00A9173E"/>
    <w:rsid w:val="00A91F30"/>
    <w:rsid w:val="00A93DD7"/>
    <w:rsid w:val="00A942F3"/>
    <w:rsid w:val="00A94B71"/>
    <w:rsid w:val="00A97A65"/>
    <w:rsid w:val="00AA0348"/>
    <w:rsid w:val="00AA0BB8"/>
    <w:rsid w:val="00AA3791"/>
    <w:rsid w:val="00AA4120"/>
    <w:rsid w:val="00AA61A8"/>
    <w:rsid w:val="00AB114E"/>
    <w:rsid w:val="00AB11A1"/>
    <w:rsid w:val="00AB23A3"/>
    <w:rsid w:val="00AB3987"/>
    <w:rsid w:val="00AB46D2"/>
    <w:rsid w:val="00AB51C4"/>
    <w:rsid w:val="00AB5801"/>
    <w:rsid w:val="00AB6235"/>
    <w:rsid w:val="00AC1B3B"/>
    <w:rsid w:val="00AC5F26"/>
    <w:rsid w:val="00AD0A39"/>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BA2"/>
    <w:rsid w:val="00AE6D64"/>
    <w:rsid w:val="00AF0C75"/>
    <w:rsid w:val="00AF23B3"/>
    <w:rsid w:val="00AF3FB5"/>
    <w:rsid w:val="00AF476C"/>
    <w:rsid w:val="00AF5141"/>
    <w:rsid w:val="00AF7A9F"/>
    <w:rsid w:val="00B009A6"/>
    <w:rsid w:val="00B043A6"/>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5622"/>
    <w:rsid w:val="00B475AD"/>
    <w:rsid w:val="00B51B2C"/>
    <w:rsid w:val="00B529B3"/>
    <w:rsid w:val="00B55B73"/>
    <w:rsid w:val="00B606BB"/>
    <w:rsid w:val="00B61299"/>
    <w:rsid w:val="00B64570"/>
    <w:rsid w:val="00B64952"/>
    <w:rsid w:val="00B64E48"/>
    <w:rsid w:val="00B65738"/>
    <w:rsid w:val="00B6611C"/>
    <w:rsid w:val="00B6633B"/>
    <w:rsid w:val="00B66BCE"/>
    <w:rsid w:val="00B66E14"/>
    <w:rsid w:val="00B711CE"/>
    <w:rsid w:val="00B713B8"/>
    <w:rsid w:val="00B716C7"/>
    <w:rsid w:val="00B71BC8"/>
    <w:rsid w:val="00B73E50"/>
    <w:rsid w:val="00B748E9"/>
    <w:rsid w:val="00B74F5D"/>
    <w:rsid w:val="00B7645F"/>
    <w:rsid w:val="00B768C7"/>
    <w:rsid w:val="00B7737E"/>
    <w:rsid w:val="00B77B34"/>
    <w:rsid w:val="00B77C00"/>
    <w:rsid w:val="00B81599"/>
    <w:rsid w:val="00B81E3F"/>
    <w:rsid w:val="00B8217C"/>
    <w:rsid w:val="00B82A68"/>
    <w:rsid w:val="00B84E0F"/>
    <w:rsid w:val="00B85C20"/>
    <w:rsid w:val="00B864DA"/>
    <w:rsid w:val="00B905F8"/>
    <w:rsid w:val="00B9163C"/>
    <w:rsid w:val="00B91CDD"/>
    <w:rsid w:val="00B91F60"/>
    <w:rsid w:val="00B933A8"/>
    <w:rsid w:val="00B93899"/>
    <w:rsid w:val="00B94130"/>
    <w:rsid w:val="00B95BE9"/>
    <w:rsid w:val="00BA0504"/>
    <w:rsid w:val="00BA1726"/>
    <w:rsid w:val="00BA46A7"/>
    <w:rsid w:val="00BB0719"/>
    <w:rsid w:val="00BB325B"/>
    <w:rsid w:val="00BB3FC9"/>
    <w:rsid w:val="00BB7649"/>
    <w:rsid w:val="00BB7AC5"/>
    <w:rsid w:val="00BB7FBA"/>
    <w:rsid w:val="00BC0505"/>
    <w:rsid w:val="00BC0E16"/>
    <w:rsid w:val="00BC248D"/>
    <w:rsid w:val="00BC3552"/>
    <w:rsid w:val="00BC3D0D"/>
    <w:rsid w:val="00BC6DF8"/>
    <w:rsid w:val="00BC78F2"/>
    <w:rsid w:val="00BD0106"/>
    <w:rsid w:val="00BD419B"/>
    <w:rsid w:val="00BD54C1"/>
    <w:rsid w:val="00BD6006"/>
    <w:rsid w:val="00BE0616"/>
    <w:rsid w:val="00BE15F5"/>
    <w:rsid w:val="00BE2A39"/>
    <w:rsid w:val="00BE4F17"/>
    <w:rsid w:val="00BE5417"/>
    <w:rsid w:val="00BE765F"/>
    <w:rsid w:val="00BF1165"/>
    <w:rsid w:val="00BF1B45"/>
    <w:rsid w:val="00BF4E63"/>
    <w:rsid w:val="00BF678B"/>
    <w:rsid w:val="00C0177B"/>
    <w:rsid w:val="00C03075"/>
    <w:rsid w:val="00C04D38"/>
    <w:rsid w:val="00C06CEE"/>
    <w:rsid w:val="00C10059"/>
    <w:rsid w:val="00C10BEA"/>
    <w:rsid w:val="00C143B3"/>
    <w:rsid w:val="00C143D4"/>
    <w:rsid w:val="00C14E08"/>
    <w:rsid w:val="00C16873"/>
    <w:rsid w:val="00C20EDD"/>
    <w:rsid w:val="00C210DA"/>
    <w:rsid w:val="00C222F8"/>
    <w:rsid w:val="00C265B1"/>
    <w:rsid w:val="00C26D59"/>
    <w:rsid w:val="00C2723B"/>
    <w:rsid w:val="00C3115C"/>
    <w:rsid w:val="00C3161B"/>
    <w:rsid w:val="00C31FAB"/>
    <w:rsid w:val="00C32386"/>
    <w:rsid w:val="00C32701"/>
    <w:rsid w:val="00C33332"/>
    <w:rsid w:val="00C33943"/>
    <w:rsid w:val="00C368EB"/>
    <w:rsid w:val="00C4038C"/>
    <w:rsid w:val="00C4135D"/>
    <w:rsid w:val="00C41D1D"/>
    <w:rsid w:val="00C41F1C"/>
    <w:rsid w:val="00C42B4F"/>
    <w:rsid w:val="00C43A6F"/>
    <w:rsid w:val="00C44DA8"/>
    <w:rsid w:val="00C47ADC"/>
    <w:rsid w:val="00C51D45"/>
    <w:rsid w:val="00C524E8"/>
    <w:rsid w:val="00C54776"/>
    <w:rsid w:val="00C56B4F"/>
    <w:rsid w:val="00C60835"/>
    <w:rsid w:val="00C61CCF"/>
    <w:rsid w:val="00C61E34"/>
    <w:rsid w:val="00C6205C"/>
    <w:rsid w:val="00C6269C"/>
    <w:rsid w:val="00C62E2E"/>
    <w:rsid w:val="00C6406D"/>
    <w:rsid w:val="00C65AD4"/>
    <w:rsid w:val="00C65C49"/>
    <w:rsid w:val="00C66289"/>
    <w:rsid w:val="00C67C0E"/>
    <w:rsid w:val="00C67FBA"/>
    <w:rsid w:val="00C7085D"/>
    <w:rsid w:val="00C73542"/>
    <w:rsid w:val="00C751AB"/>
    <w:rsid w:val="00C75C7E"/>
    <w:rsid w:val="00C768E2"/>
    <w:rsid w:val="00C80873"/>
    <w:rsid w:val="00C82508"/>
    <w:rsid w:val="00C82F63"/>
    <w:rsid w:val="00C863E2"/>
    <w:rsid w:val="00C86E47"/>
    <w:rsid w:val="00C90159"/>
    <w:rsid w:val="00C91BE1"/>
    <w:rsid w:val="00CA1306"/>
    <w:rsid w:val="00CA1CB0"/>
    <w:rsid w:val="00CA33C8"/>
    <w:rsid w:val="00CA3854"/>
    <w:rsid w:val="00CA50A4"/>
    <w:rsid w:val="00CA77A1"/>
    <w:rsid w:val="00CA78E0"/>
    <w:rsid w:val="00CA7BFD"/>
    <w:rsid w:val="00CB0BD7"/>
    <w:rsid w:val="00CB1ED4"/>
    <w:rsid w:val="00CB3908"/>
    <w:rsid w:val="00CB4C0B"/>
    <w:rsid w:val="00CC00F9"/>
    <w:rsid w:val="00CC0C4C"/>
    <w:rsid w:val="00CC1279"/>
    <w:rsid w:val="00CC147E"/>
    <w:rsid w:val="00CC1786"/>
    <w:rsid w:val="00CC1928"/>
    <w:rsid w:val="00CC243D"/>
    <w:rsid w:val="00CC469D"/>
    <w:rsid w:val="00CC4E7D"/>
    <w:rsid w:val="00CC5679"/>
    <w:rsid w:val="00CC5B2A"/>
    <w:rsid w:val="00CC6475"/>
    <w:rsid w:val="00CD06BB"/>
    <w:rsid w:val="00CD25C6"/>
    <w:rsid w:val="00CD2775"/>
    <w:rsid w:val="00CD2AB3"/>
    <w:rsid w:val="00CD2D7F"/>
    <w:rsid w:val="00CD4334"/>
    <w:rsid w:val="00CD4BC1"/>
    <w:rsid w:val="00CD4EE4"/>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CAD"/>
    <w:rsid w:val="00D11004"/>
    <w:rsid w:val="00D13062"/>
    <w:rsid w:val="00D13F1B"/>
    <w:rsid w:val="00D1592A"/>
    <w:rsid w:val="00D1596A"/>
    <w:rsid w:val="00D17C70"/>
    <w:rsid w:val="00D22054"/>
    <w:rsid w:val="00D22813"/>
    <w:rsid w:val="00D23654"/>
    <w:rsid w:val="00D2438B"/>
    <w:rsid w:val="00D24800"/>
    <w:rsid w:val="00D261F5"/>
    <w:rsid w:val="00D264C9"/>
    <w:rsid w:val="00D305AA"/>
    <w:rsid w:val="00D30795"/>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532C"/>
    <w:rsid w:val="00D55643"/>
    <w:rsid w:val="00D55C7B"/>
    <w:rsid w:val="00D56127"/>
    <w:rsid w:val="00D56ABA"/>
    <w:rsid w:val="00D579B5"/>
    <w:rsid w:val="00D61E20"/>
    <w:rsid w:val="00D62935"/>
    <w:rsid w:val="00D635BF"/>
    <w:rsid w:val="00D6633D"/>
    <w:rsid w:val="00D71CCC"/>
    <w:rsid w:val="00D71F89"/>
    <w:rsid w:val="00D72C28"/>
    <w:rsid w:val="00D73AA3"/>
    <w:rsid w:val="00D74267"/>
    <w:rsid w:val="00D779CB"/>
    <w:rsid w:val="00D8198F"/>
    <w:rsid w:val="00D81A22"/>
    <w:rsid w:val="00D81E3A"/>
    <w:rsid w:val="00D8599A"/>
    <w:rsid w:val="00D862CE"/>
    <w:rsid w:val="00D86726"/>
    <w:rsid w:val="00D86F06"/>
    <w:rsid w:val="00D87D2C"/>
    <w:rsid w:val="00D9054C"/>
    <w:rsid w:val="00D9290B"/>
    <w:rsid w:val="00D96071"/>
    <w:rsid w:val="00DA0177"/>
    <w:rsid w:val="00DA02C0"/>
    <w:rsid w:val="00DA64CE"/>
    <w:rsid w:val="00DB0087"/>
    <w:rsid w:val="00DB0397"/>
    <w:rsid w:val="00DB2ABF"/>
    <w:rsid w:val="00DB39FE"/>
    <w:rsid w:val="00DB736F"/>
    <w:rsid w:val="00DC2482"/>
    <w:rsid w:val="00DC5BDF"/>
    <w:rsid w:val="00DC723A"/>
    <w:rsid w:val="00DD146E"/>
    <w:rsid w:val="00DD1B74"/>
    <w:rsid w:val="00DD1C68"/>
    <w:rsid w:val="00DD2410"/>
    <w:rsid w:val="00DD3229"/>
    <w:rsid w:val="00DD5B6B"/>
    <w:rsid w:val="00DD6C47"/>
    <w:rsid w:val="00DD7483"/>
    <w:rsid w:val="00DE1B0B"/>
    <w:rsid w:val="00DE42FB"/>
    <w:rsid w:val="00DE5895"/>
    <w:rsid w:val="00DE6934"/>
    <w:rsid w:val="00DF01B2"/>
    <w:rsid w:val="00DF0285"/>
    <w:rsid w:val="00DF130F"/>
    <w:rsid w:val="00DF4456"/>
    <w:rsid w:val="00DF5202"/>
    <w:rsid w:val="00DF6F52"/>
    <w:rsid w:val="00DF7A30"/>
    <w:rsid w:val="00E0185E"/>
    <w:rsid w:val="00E0252E"/>
    <w:rsid w:val="00E02F86"/>
    <w:rsid w:val="00E0663D"/>
    <w:rsid w:val="00E06A43"/>
    <w:rsid w:val="00E0745A"/>
    <w:rsid w:val="00E10AEF"/>
    <w:rsid w:val="00E10E03"/>
    <w:rsid w:val="00E12D07"/>
    <w:rsid w:val="00E14F20"/>
    <w:rsid w:val="00E214DE"/>
    <w:rsid w:val="00E2164B"/>
    <w:rsid w:val="00E21F47"/>
    <w:rsid w:val="00E244DF"/>
    <w:rsid w:val="00E250AB"/>
    <w:rsid w:val="00E257D2"/>
    <w:rsid w:val="00E25931"/>
    <w:rsid w:val="00E26567"/>
    <w:rsid w:val="00E267CF"/>
    <w:rsid w:val="00E27507"/>
    <w:rsid w:val="00E306AD"/>
    <w:rsid w:val="00E32368"/>
    <w:rsid w:val="00E33705"/>
    <w:rsid w:val="00E338C0"/>
    <w:rsid w:val="00E33C26"/>
    <w:rsid w:val="00E33C63"/>
    <w:rsid w:val="00E33F3F"/>
    <w:rsid w:val="00E36D0A"/>
    <w:rsid w:val="00E36FCE"/>
    <w:rsid w:val="00E44B15"/>
    <w:rsid w:val="00E554A3"/>
    <w:rsid w:val="00E55E87"/>
    <w:rsid w:val="00E56067"/>
    <w:rsid w:val="00E56320"/>
    <w:rsid w:val="00E57036"/>
    <w:rsid w:val="00E603E6"/>
    <w:rsid w:val="00E60706"/>
    <w:rsid w:val="00E63F56"/>
    <w:rsid w:val="00E64C63"/>
    <w:rsid w:val="00E64D4A"/>
    <w:rsid w:val="00E6646C"/>
    <w:rsid w:val="00E6685C"/>
    <w:rsid w:val="00E67657"/>
    <w:rsid w:val="00E7101D"/>
    <w:rsid w:val="00E71E6F"/>
    <w:rsid w:val="00E75A88"/>
    <w:rsid w:val="00E7703C"/>
    <w:rsid w:val="00E771E0"/>
    <w:rsid w:val="00E805E8"/>
    <w:rsid w:val="00E80666"/>
    <w:rsid w:val="00E8159E"/>
    <w:rsid w:val="00E816CE"/>
    <w:rsid w:val="00E862ED"/>
    <w:rsid w:val="00E91344"/>
    <w:rsid w:val="00E9244E"/>
    <w:rsid w:val="00E9380E"/>
    <w:rsid w:val="00E93CF4"/>
    <w:rsid w:val="00E94478"/>
    <w:rsid w:val="00E9459A"/>
    <w:rsid w:val="00EA1BB5"/>
    <w:rsid w:val="00EA34E5"/>
    <w:rsid w:val="00EA4FD9"/>
    <w:rsid w:val="00EA5770"/>
    <w:rsid w:val="00EA6377"/>
    <w:rsid w:val="00EB195F"/>
    <w:rsid w:val="00EB2368"/>
    <w:rsid w:val="00EB4CAA"/>
    <w:rsid w:val="00EB542F"/>
    <w:rsid w:val="00EB56E5"/>
    <w:rsid w:val="00EB6561"/>
    <w:rsid w:val="00EB688A"/>
    <w:rsid w:val="00EC0AA6"/>
    <w:rsid w:val="00EC122F"/>
    <w:rsid w:val="00EC24AE"/>
    <w:rsid w:val="00EC327D"/>
    <w:rsid w:val="00EC3673"/>
    <w:rsid w:val="00EC53C0"/>
    <w:rsid w:val="00ED0977"/>
    <w:rsid w:val="00ED16C6"/>
    <w:rsid w:val="00ED4907"/>
    <w:rsid w:val="00ED4991"/>
    <w:rsid w:val="00ED66D5"/>
    <w:rsid w:val="00EE03AE"/>
    <w:rsid w:val="00EE06EC"/>
    <w:rsid w:val="00EE35AD"/>
    <w:rsid w:val="00EE37BE"/>
    <w:rsid w:val="00EE3D1A"/>
    <w:rsid w:val="00EF1343"/>
    <w:rsid w:val="00EF284B"/>
    <w:rsid w:val="00EF3C18"/>
    <w:rsid w:val="00EF4439"/>
    <w:rsid w:val="00EF4D92"/>
    <w:rsid w:val="00EF7C06"/>
    <w:rsid w:val="00EF7F93"/>
    <w:rsid w:val="00F0050B"/>
    <w:rsid w:val="00F00811"/>
    <w:rsid w:val="00F008EF"/>
    <w:rsid w:val="00F01FFE"/>
    <w:rsid w:val="00F02DC4"/>
    <w:rsid w:val="00F02E5D"/>
    <w:rsid w:val="00F039DA"/>
    <w:rsid w:val="00F03A6B"/>
    <w:rsid w:val="00F048FF"/>
    <w:rsid w:val="00F05705"/>
    <w:rsid w:val="00F14735"/>
    <w:rsid w:val="00F15731"/>
    <w:rsid w:val="00F16DCA"/>
    <w:rsid w:val="00F20091"/>
    <w:rsid w:val="00F261B1"/>
    <w:rsid w:val="00F26C2D"/>
    <w:rsid w:val="00F27A1F"/>
    <w:rsid w:val="00F311CC"/>
    <w:rsid w:val="00F32055"/>
    <w:rsid w:val="00F33EAC"/>
    <w:rsid w:val="00F34004"/>
    <w:rsid w:val="00F341FC"/>
    <w:rsid w:val="00F355D9"/>
    <w:rsid w:val="00F374FD"/>
    <w:rsid w:val="00F415B6"/>
    <w:rsid w:val="00F41A3E"/>
    <w:rsid w:val="00F435E2"/>
    <w:rsid w:val="00F44A88"/>
    <w:rsid w:val="00F507D3"/>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02DB"/>
    <w:rsid w:val="00F82735"/>
    <w:rsid w:val="00F83876"/>
    <w:rsid w:val="00F8624F"/>
    <w:rsid w:val="00F86BF1"/>
    <w:rsid w:val="00F87923"/>
    <w:rsid w:val="00F94980"/>
    <w:rsid w:val="00F953F2"/>
    <w:rsid w:val="00F969A3"/>
    <w:rsid w:val="00F97CAD"/>
    <w:rsid w:val="00F97D27"/>
    <w:rsid w:val="00FA098F"/>
    <w:rsid w:val="00FA0DCE"/>
    <w:rsid w:val="00FA21C1"/>
    <w:rsid w:val="00FA2623"/>
    <w:rsid w:val="00FA320A"/>
    <w:rsid w:val="00FA4AFD"/>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D71C7"/>
    <w:rsid w:val="00FE2BD0"/>
    <w:rsid w:val="00FE5344"/>
    <w:rsid w:val="00FE6731"/>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9775B"/>
  <w15:docId w15:val="{310B8763-E21B-4CFC-821B-61B4DD4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出段落 字符"/>
    <w:aliases w:val="- Bullets 字符,?? ?? 字符,????? 字符,???? 字符,Lista1 字符,목록 단락 字符,リスト段落 字符,列出段落1 字符,中等深浅网格 1 - 着色 21 字符,列表段落 字符,R4_bullets 字符,列表段落1 字符,—ño’i—Ž 字符,¥¡¡¡¡ì¬º¥¹¥È¶ÎÂä 字符,ÁÐ³ö¶ÎÂä 字符,¥ê¥¹¥È¶ÎÂä 字符,1st level - Bullet List Paragraph 字符,Paragrafo elenco 字符"/>
    <w:link w:val="a7"/>
    <w:uiPriority w:val="34"/>
    <w:qFormat/>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39"/>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unhideWhenUsed/>
    <w:rsid w:val="00A87E14"/>
    <w:rPr>
      <w:sz w:val="18"/>
      <w:szCs w:val="18"/>
    </w:rPr>
  </w:style>
  <w:style w:type="character" w:customStyle="1" w:styleId="ad">
    <w:name w:val="批注框文本 字符"/>
    <w:basedOn w:val="a0"/>
    <w:link w:val="ac"/>
    <w:uiPriority w:val="9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f0"/>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f0">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f1">
    <w:name w:val="footnote text"/>
    <w:aliases w:val="ALTS FOOTNOTE,DNV-FT,Footnote Text Char1,Footnote Text Char Char1,Footnote Text Char4 Char Char,Footnote Text Char1 Char1 Char1 Char,Footnote Text Char Char1 Char1 Char Char,footnote text1,footnote text2,footnote text3,footnote text4,footnote text5"/>
    <w:basedOn w:val="a"/>
    <w:link w:val="af2"/>
    <w:rsid w:val="00AE4B32"/>
    <w:pPr>
      <w:widowControl/>
      <w:jc w:val="left"/>
    </w:pPr>
    <w:rPr>
      <w:rFonts w:ascii="Arial" w:eastAsia="宋体" w:hAnsi="Arial" w:cs="Times New Roman"/>
      <w:kern w:val="0"/>
      <w:sz w:val="20"/>
      <w:szCs w:val="20"/>
      <w:lang w:val="en-GB" w:eastAsia="en-US"/>
    </w:rPr>
  </w:style>
  <w:style w:type="character" w:customStyle="1" w:styleId="af2">
    <w:name w:val="脚注文本 字符"/>
    <w:aliases w:val="ALTS FOOTNOTE 字符,DNV-FT 字符,Footnote Text Char1 字符,Footnote Text Char Char1 字符,Footnote Text Char4 Char Char 字符,Footnote Text Char1 Char1 Char1 Char 字符,Footnote Text Char Char1 Char1 Char Char 字符,footnote text1 字符,footnote text2 字符"/>
    <w:basedOn w:val="a0"/>
    <w:link w:val="af1"/>
    <w:rsid w:val="00AE4B32"/>
    <w:rPr>
      <w:rFonts w:ascii="Arial" w:eastAsia="宋体" w:hAnsi="Arial" w:cs="Times New Roman"/>
      <w:kern w:val="0"/>
      <w:sz w:val="20"/>
      <w:szCs w:val="20"/>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4">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af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6">
    <w:name w:val="annotation reference"/>
    <w:basedOn w:val="a0"/>
    <w:unhideWhenUsed/>
    <w:rsid w:val="00AE4B32"/>
    <w:rPr>
      <w:sz w:val="21"/>
      <w:szCs w:val="21"/>
    </w:rPr>
  </w:style>
  <w:style w:type="paragraph" w:styleId="af7">
    <w:name w:val="annotation text"/>
    <w:basedOn w:val="a"/>
    <w:link w:val="af8"/>
    <w:uiPriority w:val="99"/>
    <w:unhideWhenUsed/>
    <w:rsid w:val="00AE4B32"/>
    <w:pPr>
      <w:jc w:val="left"/>
    </w:pPr>
  </w:style>
  <w:style w:type="character" w:customStyle="1" w:styleId="af8">
    <w:name w:val="批注文字 字符"/>
    <w:basedOn w:val="a0"/>
    <w:link w:val="af7"/>
    <w:uiPriority w:val="99"/>
    <w:rsid w:val="00AE4B32"/>
  </w:style>
  <w:style w:type="paragraph" w:styleId="af9">
    <w:name w:val="annotation subject"/>
    <w:basedOn w:val="af7"/>
    <w:next w:val="af7"/>
    <w:link w:val="afa"/>
    <w:unhideWhenUsed/>
    <w:rsid w:val="00AE4B32"/>
    <w:rPr>
      <w:b/>
      <w:bCs/>
    </w:rPr>
  </w:style>
  <w:style w:type="character" w:customStyle="1" w:styleId="afa">
    <w:name w:val="批注主题 字符"/>
    <w:basedOn w:val="af8"/>
    <w:link w:val="af9"/>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1">
    <w:name w:val="index 2"/>
    <w:basedOn w:val="11"/>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b">
    <w:name w:val="Body Text"/>
    <w:basedOn w:val="a"/>
    <w:link w:val="afc"/>
    <w:uiPriority w:val="99"/>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afc">
    <w:name w:val="正文文本 字符"/>
    <w:basedOn w:val="a0"/>
    <w:link w:val="afb"/>
    <w:uiPriority w:val="99"/>
    <w:rsid w:val="00CF2EBF"/>
    <w:rPr>
      <w:rFonts w:ascii="Times New Roman" w:eastAsia="MS Mincho" w:hAnsi="Times New Roman" w:cs="Times New Roman"/>
      <w:kern w:val="0"/>
      <w:sz w:val="20"/>
      <w:szCs w:val="20"/>
      <w:lang w:val="en-GB" w:eastAsia="en-US"/>
    </w:rPr>
  </w:style>
  <w:style w:type="paragraph" w:styleId="11">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d">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1">
    <w:name w:val="toc 8"/>
    <w:basedOn w:val="12"/>
    <w:uiPriority w:val="39"/>
    <w:rsid w:val="00CA1306"/>
    <w:pPr>
      <w:spacing w:before="180"/>
      <w:ind w:left="2693" w:hanging="2693"/>
    </w:pPr>
    <w:rPr>
      <w:b/>
    </w:rPr>
  </w:style>
  <w:style w:type="paragraph" w:styleId="12">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1">
    <w:name w:val="toc 5"/>
    <w:basedOn w:val="41"/>
    <w:uiPriority w:val="39"/>
    <w:rsid w:val="00CA1306"/>
    <w:pPr>
      <w:ind w:left="1701" w:hanging="1701"/>
    </w:pPr>
  </w:style>
  <w:style w:type="paragraph" w:styleId="41">
    <w:name w:val="toc 4"/>
    <w:basedOn w:val="31"/>
    <w:uiPriority w:val="39"/>
    <w:rsid w:val="00CA1306"/>
    <w:pPr>
      <w:ind w:left="1418" w:hanging="1418"/>
    </w:pPr>
  </w:style>
  <w:style w:type="paragraph" w:styleId="31">
    <w:name w:val="toc 3"/>
    <w:basedOn w:val="22"/>
    <w:uiPriority w:val="39"/>
    <w:rsid w:val="00CA1306"/>
    <w:pPr>
      <w:ind w:left="1134" w:hanging="1134"/>
    </w:pPr>
  </w:style>
  <w:style w:type="paragraph" w:styleId="22">
    <w:name w:val="toc 2"/>
    <w:basedOn w:val="12"/>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3">
    <w:name w:val="List Number 2"/>
    <w:basedOn w:val="afe"/>
    <w:rsid w:val="00CA1306"/>
    <w:pPr>
      <w:ind w:left="851"/>
    </w:pPr>
  </w:style>
  <w:style w:type="paragraph" w:styleId="afe">
    <w:name w:val="List Number"/>
    <w:basedOn w:val="af0"/>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1">
    <w:name w:val="toc 9"/>
    <w:basedOn w:val="81"/>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1">
    <w:name w:val="toc 6"/>
    <w:basedOn w:val="51"/>
    <w:next w:val="a"/>
    <w:uiPriority w:val="39"/>
    <w:rsid w:val="00CA1306"/>
    <w:pPr>
      <w:ind w:left="1985" w:hanging="1985"/>
    </w:pPr>
  </w:style>
  <w:style w:type="paragraph" w:styleId="71">
    <w:name w:val="toc 7"/>
    <w:basedOn w:val="61"/>
    <w:next w:val="a"/>
    <w:uiPriority w:val="39"/>
    <w:rsid w:val="00CA1306"/>
    <w:pPr>
      <w:ind w:left="2268" w:hanging="2268"/>
    </w:pPr>
  </w:style>
  <w:style w:type="paragraph" w:styleId="24">
    <w:name w:val="List Bullet 2"/>
    <w:basedOn w:val="aff"/>
    <w:link w:val="25"/>
    <w:rsid w:val="00CA1306"/>
    <w:pPr>
      <w:ind w:left="851"/>
    </w:pPr>
  </w:style>
  <w:style w:type="paragraph" w:styleId="aff">
    <w:name w:val="List Bullet"/>
    <w:basedOn w:val="af0"/>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2">
    <w:name w:val="List Bullet 3"/>
    <w:basedOn w:val="24"/>
    <w:rsid w:val="00CA1306"/>
    <w:pPr>
      <w:ind w:left="1135"/>
    </w:pPr>
  </w:style>
  <w:style w:type="character" w:customStyle="1" w:styleId="EQChar">
    <w:name w:val="EQ Char"/>
    <w:link w:val="EQ"/>
    <w:qFormat/>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link w:val="ZAChar"/>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6">
    <w:name w:val="List 2"/>
    <w:basedOn w:val="af0"/>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6"/>
    <w:rsid w:val="00CA1306"/>
    <w:pPr>
      <w:ind w:left="1135"/>
    </w:pPr>
  </w:style>
  <w:style w:type="paragraph" w:styleId="42">
    <w:name w:val="List 4"/>
    <w:basedOn w:val="33"/>
    <w:rsid w:val="00CA1306"/>
    <w:pPr>
      <w:ind w:left="1418"/>
    </w:pPr>
  </w:style>
  <w:style w:type="paragraph" w:styleId="52">
    <w:name w:val="List 5"/>
    <w:basedOn w:val="42"/>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3">
    <w:name w:val="List Bullet 4"/>
    <w:basedOn w:val="32"/>
    <w:rsid w:val="00CA1306"/>
    <w:pPr>
      <w:ind w:left="1418"/>
    </w:pPr>
  </w:style>
  <w:style w:type="paragraph" w:styleId="53">
    <w:name w:val="List Bullet 5"/>
    <w:basedOn w:val="43"/>
    <w:rsid w:val="00CA1306"/>
    <w:pPr>
      <w:ind w:left="1702"/>
    </w:pPr>
  </w:style>
  <w:style w:type="paragraph" w:customStyle="1" w:styleId="B20">
    <w:name w:val="B2"/>
    <w:basedOn w:val="26"/>
    <w:link w:val="B2Char"/>
    <w:qFormat/>
    <w:rsid w:val="00CA1306"/>
  </w:style>
  <w:style w:type="character" w:customStyle="1" w:styleId="B2Char">
    <w:name w:val="B2 Char"/>
    <w:link w:val="B20"/>
    <w:qFormat/>
    <w:rsid w:val="00CA1306"/>
    <w:rPr>
      <w:rFonts w:ascii="Times New Roman" w:hAnsi="Times New Roman" w:cs="Times New Roman"/>
      <w:kern w:val="0"/>
      <w:sz w:val="20"/>
      <w:szCs w:val="20"/>
      <w:lang w:val="en-GB" w:eastAsia="en-US"/>
    </w:rPr>
  </w:style>
  <w:style w:type="paragraph" w:customStyle="1" w:styleId="B30">
    <w:name w:val="B3"/>
    <w:basedOn w:val="33"/>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2"/>
    <w:link w:val="B4Char"/>
    <w:rsid w:val="00CA1306"/>
  </w:style>
  <w:style w:type="paragraph" w:customStyle="1" w:styleId="B5">
    <w:name w:val="B5"/>
    <w:basedOn w:val="52"/>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f0">
    <w:name w:val="FollowedHyperlink"/>
    <w:rsid w:val="00CA1306"/>
    <w:rPr>
      <w:color w:val="800080"/>
      <w:u w:val="single"/>
    </w:rPr>
  </w:style>
  <w:style w:type="paragraph" w:styleId="aff1">
    <w:name w:val="Document Map"/>
    <w:basedOn w:val="a"/>
    <w:link w:val="aff2"/>
    <w:uiPriority w:val="9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aff2">
    <w:name w:val="文档结构图 字符"/>
    <w:basedOn w:val="a0"/>
    <w:link w:val="aff1"/>
    <w:uiPriority w:val="99"/>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f3">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f4">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f5">
    <w:name w:val="Emphasis"/>
    <w:qFormat/>
    <w:rsid w:val="00CA1306"/>
    <w:rPr>
      <w:i/>
      <w:iCs/>
    </w:rPr>
  </w:style>
  <w:style w:type="character" w:styleId="aff6">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f7">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f8">
    <w:name w:val="Plain Text"/>
    <w:basedOn w:val="a"/>
    <w:link w:val="aff9"/>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aff9">
    <w:name w:val="纯文本 字符"/>
    <w:basedOn w:val="a0"/>
    <w:link w:val="aff8"/>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a"/>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4">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4">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4">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1"/>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a"/>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CA1306"/>
    <w:rPr>
      <w:rFonts w:ascii="Times New Roman" w:eastAsia="Batang" w:hAnsi="Times New Roman" w:cs="Times New Roman"/>
      <w:kern w:val="0"/>
      <w:sz w:val="20"/>
      <w:szCs w:val="20"/>
      <w:lang w:val="en-GB" w:eastAsia="en-US"/>
    </w:rPr>
  </w:style>
  <w:style w:type="paragraph" w:customStyle="1" w:styleId="13">
    <w:name w:val="修订1"/>
    <w:hidden/>
    <w:semiHidden/>
    <w:rsid w:val="00CA1306"/>
    <w:rPr>
      <w:rFonts w:ascii="Times New Roman" w:eastAsia="Batang" w:hAnsi="Times New Roman" w:cs="Times New Roman"/>
      <w:kern w:val="0"/>
      <w:sz w:val="20"/>
      <w:szCs w:val="20"/>
      <w:lang w:val="en-GB" w:eastAsia="en-US"/>
    </w:rPr>
  </w:style>
  <w:style w:type="paragraph" w:styleId="affb">
    <w:name w:val="endnote text"/>
    <w:basedOn w:val="a"/>
    <w:link w:val="affc"/>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affc">
    <w:name w:val="尾注文本 字符"/>
    <w:basedOn w:val="a0"/>
    <w:link w:val="affb"/>
    <w:rsid w:val="00CA1306"/>
    <w:rPr>
      <w:rFonts w:ascii="Times New Roman" w:eastAsia="Times New Roman" w:hAnsi="Times New Roman" w:cs="Times New Roman"/>
      <w:kern w:val="0"/>
      <w:sz w:val="20"/>
      <w:szCs w:val="20"/>
      <w:lang w:val="en-GB" w:eastAsia="x-none"/>
    </w:rPr>
  </w:style>
  <w:style w:type="paragraph" w:customStyle="1" w:styleId="affd">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e">
    <w:name w:val="Note Heading"/>
    <w:basedOn w:val="a"/>
    <w:next w:val="a"/>
    <w:link w:val="afff"/>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
    <w:name w:val="注释标题 字符"/>
    <w:basedOn w:val="a0"/>
    <w:link w:val="affe"/>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5">
    <w:name w:val="列表项目符号 2 字符"/>
    <w:link w:val="24"/>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a"/>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a"/>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a"/>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f0">
    <w:name w:val="Placeholder Text"/>
    <w:uiPriority w:val="99"/>
    <w:semiHidden/>
    <w:rsid w:val="00CA1306"/>
    <w:rPr>
      <w:color w:val="808080"/>
    </w:rPr>
  </w:style>
  <w:style w:type="paragraph" w:customStyle="1" w:styleId="TOC92">
    <w:name w:val="TOC 92"/>
    <w:basedOn w:val="81"/>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1"/>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a"/>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f1">
    <w:name w:val="Subtle Reference"/>
    <w:uiPriority w:val="31"/>
    <w:qFormat/>
    <w:rsid w:val="00501873"/>
    <w:rPr>
      <w:smallCaps/>
      <w:color w:val="5A5A5A"/>
    </w:rPr>
  </w:style>
  <w:style w:type="paragraph" w:styleId="afff2">
    <w:name w:val="Body Text Indent"/>
    <w:basedOn w:val="a"/>
    <w:link w:val="afff3"/>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afff3">
    <w:name w:val="正文文本缩进 字符"/>
    <w:basedOn w:val="a0"/>
    <w:link w:val="afff2"/>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af5">
    <w:name w:val="题注 字符"/>
    <w:aliases w:val="cap 字符,cap Char 字符,Caption Char1 Char 字符,cap Char Char1 字符,Caption Char Char1 Char 字符,cap Char2 字符,3GPP Caption Table 字符,Caption Char 字符,Caption Equation 字符,cap1 字符,cap2 字符,cap11 字符,Légende-figure 字符,Légende-figure Char 字符,Beschrifubg 字符,label 字符"/>
    <w:link w:val="af4"/>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a"/>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 w:type="character" w:styleId="HTML">
    <w:name w:val="HTML Typewriter"/>
    <w:semiHidden/>
    <w:unhideWhenUsed/>
    <w:rsid w:val="003D3EE8"/>
    <w:rPr>
      <w:rFonts w:ascii="Courier New" w:eastAsia="Times New Roman" w:hAnsi="Courier New" w:cs="Courier New" w:hint="default"/>
      <w:sz w:val="24"/>
      <w:szCs w:val="24"/>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D3EE8"/>
    <w:rPr>
      <w:rFonts w:ascii="Times New Roman" w:hAnsi="Times New Roman" w:cs="Times New Roman"/>
      <w:color w:val="000000"/>
      <w:kern w:val="0"/>
      <w:sz w:val="18"/>
      <w:szCs w:val="18"/>
      <w:lang w:val="en-GB" w:eastAsia="ja-JP"/>
    </w:rPr>
  </w:style>
  <w:style w:type="character" w:customStyle="1" w:styleId="ZAChar">
    <w:name w:val="ZA Char"/>
    <w:basedOn w:val="a0"/>
    <w:link w:val="ZA"/>
    <w:locked/>
    <w:rsid w:val="003D3EE8"/>
    <w:rPr>
      <w:rFonts w:ascii="Arial" w:hAnsi="Arial" w:cs="Times New Roman"/>
      <w:noProof/>
      <w:kern w:val="0"/>
      <w:sz w:val="40"/>
      <w:szCs w:val="20"/>
      <w:lang w:val="en-GB" w:eastAsia="en-US"/>
    </w:rPr>
  </w:style>
  <w:style w:type="paragraph" w:customStyle="1" w:styleId="tah0">
    <w:name w:val="tah"/>
    <w:basedOn w:val="a"/>
    <w:rsid w:val="003D3EE8"/>
    <w:pPr>
      <w:keepNext/>
      <w:widowControl/>
      <w:overflowPunct w:val="0"/>
      <w:autoSpaceDE w:val="0"/>
      <w:autoSpaceDN w:val="0"/>
      <w:adjustRightInd w:val="0"/>
      <w:jc w:val="center"/>
    </w:pPr>
    <w:rPr>
      <w:rFonts w:ascii="Arial" w:eastAsia="PMingLiU" w:hAnsi="Arial" w:cs="Arial"/>
      <w:b/>
      <w:bCs/>
      <w:color w:val="000000"/>
      <w:kern w:val="0"/>
      <w:sz w:val="18"/>
      <w:szCs w:val="18"/>
      <w:lang w:val="en-GB" w:eastAsia="zh-TW"/>
    </w:rPr>
  </w:style>
  <w:style w:type="paragraph" w:customStyle="1" w:styleId="tac0">
    <w:name w:val="tac"/>
    <w:basedOn w:val="a"/>
    <w:rsid w:val="003D3EE8"/>
    <w:pPr>
      <w:keepNext/>
      <w:widowControl/>
      <w:overflowPunct w:val="0"/>
      <w:autoSpaceDE w:val="0"/>
      <w:autoSpaceDN w:val="0"/>
      <w:adjustRightInd w:val="0"/>
      <w:jc w:val="center"/>
    </w:pPr>
    <w:rPr>
      <w:rFonts w:ascii="Arial" w:eastAsia="PMingLiU" w:hAnsi="Arial" w:cs="Arial"/>
      <w:color w:val="000000"/>
      <w:kern w:val="0"/>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48306516">
          <w:marLeft w:val="1080"/>
          <w:marRight w:val="0"/>
          <w:marTop w:val="1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2077169222">
          <w:marLeft w:val="360"/>
          <w:marRight w:val="0"/>
          <w:marTop w:val="2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384959678">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684020159">
          <w:marLeft w:val="1166"/>
          <w:marRight w:val="0"/>
          <w:marTop w:val="96"/>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1758793489">
          <w:marLeft w:val="547"/>
          <w:marRight w:val="0"/>
          <w:marTop w:val="115"/>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07029352">
      <w:bodyDiv w:val="1"/>
      <w:marLeft w:val="0"/>
      <w:marRight w:val="0"/>
      <w:marTop w:val="0"/>
      <w:marBottom w:val="0"/>
      <w:divBdr>
        <w:top w:val="none" w:sz="0" w:space="0" w:color="auto"/>
        <w:left w:val="none" w:sz="0" w:space="0" w:color="auto"/>
        <w:bottom w:val="none" w:sz="0" w:space="0" w:color="auto"/>
        <w:right w:val="none" w:sz="0" w:space="0" w:color="auto"/>
      </w:divBdr>
      <w:divsChild>
        <w:div w:id="45766652">
          <w:marLeft w:val="1080"/>
          <w:marRight w:val="0"/>
          <w:marTop w:val="100"/>
          <w:marBottom w:val="0"/>
          <w:divBdr>
            <w:top w:val="none" w:sz="0" w:space="0" w:color="auto"/>
            <w:left w:val="none" w:sz="0" w:space="0" w:color="auto"/>
            <w:bottom w:val="none" w:sz="0" w:space="0" w:color="auto"/>
            <w:right w:val="none" w:sz="0" w:space="0" w:color="auto"/>
          </w:divBdr>
        </w:div>
        <w:div w:id="141436422">
          <w:marLeft w:val="1080"/>
          <w:marRight w:val="0"/>
          <w:marTop w:val="100"/>
          <w:marBottom w:val="0"/>
          <w:divBdr>
            <w:top w:val="none" w:sz="0" w:space="0" w:color="auto"/>
            <w:left w:val="none" w:sz="0" w:space="0" w:color="auto"/>
            <w:bottom w:val="none" w:sz="0" w:space="0" w:color="auto"/>
            <w:right w:val="none" w:sz="0" w:space="0" w:color="auto"/>
          </w:divBdr>
        </w:div>
        <w:div w:id="982274658">
          <w:marLeft w:val="1080"/>
          <w:marRight w:val="0"/>
          <w:marTop w:val="100"/>
          <w:marBottom w:val="0"/>
          <w:divBdr>
            <w:top w:val="none" w:sz="0" w:space="0" w:color="auto"/>
            <w:left w:val="none" w:sz="0" w:space="0" w:color="auto"/>
            <w:bottom w:val="none" w:sz="0" w:space="0" w:color="auto"/>
            <w:right w:val="none" w:sz="0" w:space="0" w:color="auto"/>
          </w:divBdr>
        </w:div>
        <w:div w:id="1092122249">
          <w:marLeft w:val="1080"/>
          <w:marRight w:val="0"/>
          <w:marTop w:val="100"/>
          <w:marBottom w:val="0"/>
          <w:divBdr>
            <w:top w:val="none" w:sz="0" w:space="0" w:color="auto"/>
            <w:left w:val="none" w:sz="0" w:space="0" w:color="auto"/>
            <w:bottom w:val="none" w:sz="0" w:space="0" w:color="auto"/>
            <w:right w:val="none" w:sz="0" w:space="0" w:color="auto"/>
          </w:divBdr>
        </w:div>
        <w:div w:id="1251427718">
          <w:marLeft w:val="1080"/>
          <w:marRight w:val="0"/>
          <w:marTop w:val="100"/>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52437745">
      <w:bodyDiv w:val="1"/>
      <w:marLeft w:val="0"/>
      <w:marRight w:val="0"/>
      <w:marTop w:val="0"/>
      <w:marBottom w:val="0"/>
      <w:divBdr>
        <w:top w:val="none" w:sz="0" w:space="0" w:color="auto"/>
        <w:left w:val="none" w:sz="0" w:space="0" w:color="auto"/>
        <w:bottom w:val="none" w:sz="0" w:space="0" w:color="auto"/>
        <w:right w:val="none" w:sz="0" w:space="0" w:color="auto"/>
      </w:divBdr>
      <w:divsChild>
        <w:div w:id="1215390444">
          <w:marLeft w:val="0"/>
          <w:marRight w:val="0"/>
          <w:marTop w:val="0"/>
          <w:marBottom w:val="0"/>
          <w:divBdr>
            <w:top w:val="none" w:sz="0" w:space="0" w:color="auto"/>
            <w:left w:val="none" w:sz="0" w:space="0" w:color="auto"/>
            <w:bottom w:val="none" w:sz="0" w:space="0" w:color="auto"/>
            <w:right w:val="none" w:sz="0" w:space="0" w:color="auto"/>
          </w:divBdr>
          <w:divsChild>
            <w:div w:id="163729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42763226">
      <w:bodyDiv w:val="1"/>
      <w:marLeft w:val="0"/>
      <w:marRight w:val="0"/>
      <w:marTop w:val="0"/>
      <w:marBottom w:val="0"/>
      <w:divBdr>
        <w:top w:val="none" w:sz="0" w:space="0" w:color="auto"/>
        <w:left w:val="none" w:sz="0" w:space="0" w:color="auto"/>
        <w:bottom w:val="none" w:sz="0" w:space="0" w:color="auto"/>
        <w:right w:val="none" w:sz="0" w:space="0" w:color="auto"/>
      </w:divBdr>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513104335">
          <w:marLeft w:val="1166"/>
          <w:marRight w:val="0"/>
          <w:marTop w:val="96"/>
          <w:marBottom w:val="0"/>
          <w:divBdr>
            <w:top w:val="none" w:sz="0" w:space="0" w:color="auto"/>
            <w:left w:val="none" w:sz="0" w:space="0" w:color="auto"/>
            <w:bottom w:val="none" w:sz="0" w:space="0" w:color="auto"/>
            <w:right w:val="none" w:sz="0" w:space="0" w:color="auto"/>
          </w:divBdr>
        </w:div>
        <w:div w:id="1643579037">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 w:id="2042364882">
          <w:marLeft w:val="547"/>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321882">
      <w:bodyDiv w:val="1"/>
      <w:marLeft w:val="0"/>
      <w:marRight w:val="0"/>
      <w:marTop w:val="0"/>
      <w:marBottom w:val="0"/>
      <w:divBdr>
        <w:top w:val="none" w:sz="0" w:space="0" w:color="auto"/>
        <w:left w:val="none" w:sz="0" w:space="0" w:color="auto"/>
        <w:bottom w:val="none" w:sz="0" w:space="0" w:color="auto"/>
        <w:right w:val="none" w:sz="0" w:space="0" w:color="auto"/>
      </w:divBdr>
      <w:divsChild>
        <w:div w:id="225604424">
          <w:marLeft w:val="1080"/>
          <w:marRight w:val="0"/>
          <w:marTop w:val="100"/>
          <w:marBottom w:val="0"/>
          <w:divBdr>
            <w:top w:val="none" w:sz="0" w:space="0" w:color="auto"/>
            <w:left w:val="none" w:sz="0" w:space="0" w:color="auto"/>
            <w:bottom w:val="none" w:sz="0" w:space="0" w:color="auto"/>
            <w:right w:val="none" w:sz="0" w:space="0" w:color="auto"/>
          </w:divBdr>
        </w:div>
        <w:div w:id="659388951">
          <w:marLeft w:val="1080"/>
          <w:marRight w:val="0"/>
          <w:marTop w:val="100"/>
          <w:marBottom w:val="0"/>
          <w:divBdr>
            <w:top w:val="none" w:sz="0" w:space="0" w:color="auto"/>
            <w:left w:val="none" w:sz="0" w:space="0" w:color="auto"/>
            <w:bottom w:val="none" w:sz="0" w:space="0" w:color="auto"/>
            <w:right w:val="none" w:sz="0" w:space="0" w:color="auto"/>
          </w:divBdr>
        </w:div>
        <w:div w:id="1317144690">
          <w:marLeft w:val="1080"/>
          <w:marRight w:val="0"/>
          <w:marTop w:val="100"/>
          <w:marBottom w:val="0"/>
          <w:divBdr>
            <w:top w:val="none" w:sz="0" w:space="0" w:color="auto"/>
            <w:left w:val="none" w:sz="0" w:space="0" w:color="auto"/>
            <w:bottom w:val="none" w:sz="0" w:space="0" w:color="auto"/>
            <w:right w:val="none" w:sz="0" w:space="0" w:color="auto"/>
          </w:divBdr>
        </w:div>
        <w:div w:id="1973711399">
          <w:marLeft w:val="1080"/>
          <w:marRight w:val="0"/>
          <w:marTop w:val="100"/>
          <w:marBottom w:val="0"/>
          <w:divBdr>
            <w:top w:val="none" w:sz="0" w:space="0" w:color="auto"/>
            <w:left w:val="none" w:sz="0" w:space="0" w:color="auto"/>
            <w:bottom w:val="none" w:sz="0" w:space="0" w:color="auto"/>
            <w:right w:val="none" w:sz="0" w:space="0" w:color="auto"/>
          </w:divBdr>
        </w:div>
        <w:div w:id="20303256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38866823">
          <w:marLeft w:val="1138"/>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468547954">
          <w:marLeft w:val="216"/>
          <w:marRight w:val="0"/>
          <w:marTop w:val="2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47463403">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738943087">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116606457">
          <w:marLeft w:val="1080"/>
          <w:marRight w:val="0"/>
          <w:marTop w:val="1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618531827">
          <w:marLeft w:val="360"/>
          <w:marRight w:val="0"/>
          <w:marTop w:val="2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 w:id="1703436541">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91985243">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41544432">
      <w:bodyDiv w:val="1"/>
      <w:marLeft w:val="0"/>
      <w:marRight w:val="0"/>
      <w:marTop w:val="0"/>
      <w:marBottom w:val="0"/>
      <w:divBdr>
        <w:top w:val="none" w:sz="0" w:space="0" w:color="auto"/>
        <w:left w:val="none" w:sz="0" w:space="0" w:color="auto"/>
        <w:bottom w:val="none" w:sz="0" w:space="0" w:color="auto"/>
        <w:right w:val="none" w:sz="0" w:space="0" w:color="auto"/>
      </w:divBdr>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7AC31-8F02-4487-A8C3-4A3BAF1A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 Xutao</cp:lastModifiedBy>
  <cp:revision>3</cp:revision>
  <cp:lastPrinted>2019-03-25T03:05:00Z</cp:lastPrinted>
  <dcterms:created xsi:type="dcterms:W3CDTF">2021-03-15T08:48:00Z</dcterms:created>
  <dcterms:modified xsi:type="dcterms:W3CDTF">2021-03-15T08:49:00Z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